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95"/>
        <w:gridCol w:w="5070"/>
        <w:gridCol w:w="1493"/>
        <w:gridCol w:w="1909"/>
        <w:gridCol w:w="6096"/>
      </w:tblGrid>
      <w:tr w:rsidR="00B754BA" w:rsidRPr="00C77C2F" w:rsidTr="00B754BA">
        <w:tc>
          <w:tcPr>
            <w:tcW w:w="7158" w:type="dxa"/>
            <w:gridSpan w:val="3"/>
            <w:shd w:val="clear" w:color="auto" w:fill="D9D9D9" w:themeFill="background1" w:themeFillShade="D9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 Phonographisches Prinzip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Rechtschreib-Grundwortschatz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B754BA" w:rsidRPr="001E59C5" w:rsidRDefault="00B754BA" w:rsidP="00B754BA">
            <w:pPr>
              <w:keepNext/>
              <w:keepLines/>
              <w:jc w:val="center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Lernerschreibung</w:t>
            </w:r>
            <w:proofErr w:type="spellEnd"/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I.1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Buchstabenform</w:t>
            </w:r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(spiegelbildlich, unvollständig oder unleserlich geschriebene Buchstaben)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Hanb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Konig</w:t>
            </w:r>
            <w:proofErr w:type="spellEnd"/>
            <w:r w:rsidRPr="001E59C5">
              <w:rPr>
                <w:rFonts w:cstheme="minorHAnsi"/>
                <w:szCs w:val="24"/>
              </w:rPr>
              <w:t>, *Flıege</w:t>
            </w:r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I.2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proofErr w:type="spellStart"/>
            <w:r w:rsidRPr="001E59C5">
              <w:rPr>
                <w:rFonts w:cstheme="minorHAnsi"/>
                <w:szCs w:val="24"/>
              </w:rPr>
              <w:t>Graphemfolge</w:t>
            </w:r>
            <w:proofErr w:type="spellEnd"/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(Auslassung, Hinzufügung, Vertauschung; keine ‚lauttreue‘ Verschriftung)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Knder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Leuöte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Fielge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I.3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proofErr w:type="spellStart"/>
            <w:r w:rsidRPr="001E59C5">
              <w:rPr>
                <w:rFonts w:cstheme="minorHAnsi"/>
                <w:szCs w:val="24"/>
              </w:rPr>
              <w:t>Graphemauswahl</w:t>
            </w:r>
            <w:proofErr w:type="spellEnd"/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(keine ‚lauttreue‘ Verschriftung)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Künig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Suldaten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I.4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&lt;</w:t>
            </w:r>
            <w:proofErr w:type="spellStart"/>
            <w:r w:rsidRPr="001E59C5">
              <w:rPr>
                <w:rFonts w:cstheme="minorHAnsi"/>
                <w:szCs w:val="24"/>
              </w:rPr>
              <w:t>ie</w:t>
            </w:r>
            <w:proofErr w:type="spellEnd"/>
            <w:r w:rsidRPr="001E59C5">
              <w:rPr>
                <w:rFonts w:cstheme="minorHAnsi"/>
                <w:szCs w:val="24"/>
              </w:rPr>
              <w:t>&gt;-Schreibung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spilen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1 b.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I.5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 xml:space="preserve">Spezielle Grapheme und </w:t>
            </w:r>
            <w:proofErr w:type="spellStart"/>
            <w:r w:rsidRPr="001E59C5">
              <w:rPr>
                <w:rFonts w:cstheme="minorHAnsi"/>
                <w:szCs w:val="24"/>
              </w:rPr>
              <w:t>Graphemverbindungen</w:t>
            </w:r>
            <w:proofErr w:type="spellEnd"/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(&lt;</w:t>
            </w:r>
            <w:proofErr w:type="spellStart"/>
            <w:r w:rsidRPr="001E59C5">
              <w:rPr>
                <w:rFonts w:cstheme="minorHAnsi"/>
                <w:szCs w:val="24"/>
              </w:rPr>
              <w:t>st</w:t>
            </w:r>
            <w:proofErr w:type="spellEnd"/>
            <w:r w:rsidRPr="001E59C5">
              <w:rPr>
                <w:rFonts w:cstheme="minorHAnsi"/>
                <w:szCs w:val="24"/>
              </w:rPr>
              <w:t xml:space="preserve">, </w:t>
            </w:r>
            <w:proofErr w:type="spellStart"/>
            <w:r w:rsidRPr="001E59C5">
              <w:rPr>
                <w:rFonts w:cstheme="minorHAnsi"/>
                <w:szCs w:val="24"/>
              </w:rPr>
              <w:t>sp</w:t>
            </w:r>
            <w:proofErr w:type="spellEnd"/>
            <w:r w:rsidRPr="001E59C5">
              <w:rPr>
                <w:rFonts w:cstheme="minorHAnsi"/>
                <w:szCs w:val="24"/>
              </w:rPr>
              <w:t xml:space="preserve">, </w:t>
            </w:r>
            <w:proofErr w:type="spellStart"/>
            <w:r w:rsidRPr="001E59C5">
              <w:rPr>
                <w:rFonts w:cstheme="minorHAnsi"/>
                <w:szCs w:val="24"/>
              </w:rPr>
              <w:t>qu</w:t>
            </w:r>
            <w:proofErr w:type="spellEnd"/>
            <w:r w:rsidRPr="001E59C5">
              <w:rPr>
                <w:rFonts w:cstheme="minorHAnsi"/>
                <w:szCs w:val="24"/>
              </w:rPr>
              <w:t>, v, x&gt; …)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Schpinne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Kwark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(2 b.)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9067" w:type="dxa"/>
            <w:gridSpan w:val="4"/>
            <w:shd w:val="clear" w:color="auto" w:fill="D9D9D9" w:themeFill="background1" w:themeFillShade="D9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II. Silbisches Prinzip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II.1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Silbengelenke: Doppelkonsonanten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komt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Muter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4 a.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II.2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Silbengelenke: weitere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Schneke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Kaze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4 b.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II.3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Dehnungs-h, Doppelvokale</w:t>
            </w:r>
          </w:p>
        </w:tc>
        <w:tc>
          <w:tcPr>
            <w:tcW w:w="1493" w:type="dxa"/>
          </w:tcPr>
          <w:p w:rsidR="00B754BA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faren</w:t>
            </w:r>
            <w:proofErr w:type="spellEnd"/>
            <w:r w:rsidRPr="001E59C5">
              <w:rPr>
                <w:rFonts w:cstheme="minorHAnsi"/>
                <w:szCs w:val="24"/>
              </w:rPr>
              <w:t>,</w:t>
            </w:r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 xml:space="preserve"> *Bot</w:t>
            </w:r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6, 7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lastRenderedPageBreak/>
              <w:t>II.4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proofErr w:type="spellStart"/>
            <w:r w:rsidRPr="001E59C5">
              <w:rPr>
                <w:rFonts w:cstheme="minorHAnsi"/>
                <w:szCs w:val="24"/>
              </w:rPr>
              <w:t>Silbeninitiales</w:t>
            </w:r>
            <w:proofErr w:type="spellEnd"/>
            <w:r w:rsidRPr="001E59C5">
              <w:rPr>
                <w:rFonts w:cstheme="minorHAnsi"/>
                <w:szCs w:val="24"/>
              </w:rPr>
              <w:t xml:space="preserve"> &lt;h&gt;</w:t>
            </w:r>
          </w:p>
        </w:tc>
        <w:tc>
          <w:tcPr>
            <w:tcW w:w="1493" w:type="dxa"/>
          </w:tcPr>
          <w:p w:rsidR="00B754BA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*gen,</w:t>
            </w:r>
          </w:p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 xml:space="preserve"> *</w:t>
            </w:r>
            <w:proofErr w:type="spellStart"/>
            <w:r w:rsidRPr="001E59C5">
              <w:rPr>
                <w:rFonts w:cstheme="minorHAnsi"/>
                <w:szCs w:val="24"/>
              </w:rPr>
              <w:t>Küe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5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II.5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Reduktionssilbe/Schwa-Laut (&lt;e, en, er, </w:t>
            </w:r>
            <w:proofErr w:type="spellStart"/>
            <w:r>
              <w:rPr>
                <w:rFonts w:cstheme="minorHAnsi"/>
                <w:szCs w:val="24"/>
              </w:rPr>
              <w:t>el</w:t>
            </w:r>
            <w:proofErr w:type="spellEnd"/>
            <w:r>
              <w:rPr>
                <w:rFonts w:cstheme="minorHAnsi"/>
                <w:szCs w:val="24"/>
              </w:rPr>
              <w:t>&gt; …)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  <w:proofErr w:type="spellStart"/>
            <w:r>
              <w:rPr>
                <w:rFonts w:cstheme="minorHAnsi"/>
                <w:szCs w:val="24"/>
              </w:rPr>
              <w:t>Vata</w:t>
            </w:r>
            <w:proofErr w:type="spellEnd"/>
            <w:r>
              <w:rPr>
                <w:rFonts w:cstheme="minorHAnsi"/>
                <w:szCs w:val="24"/>
              </w:rPr>
              <w:t>, *</w:t>
            </w:r>
            <w:proofErr w:type="spellStart"/>
            <w:r>
              <w:rPr>
                <w:rFonts w:cstheme="minorHAnsi"/>
                <w:szCs w:val="24"/>
              </w:rPr>
              <w:t>Pinsl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9067" w:type="dxa"/>
            <w:gridSpan w:val="4"/>
            <w:shd w:val="clear" w:color="auto" w:fill="D9D9D9" w:themeFill="background1" w:themeFillShade="D9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III. Morphologisches Prinzip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III.1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Stammkonstanz, Vokalische Ableitung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Reuber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Menner</w:t>
            </w:r>
            <w:proofErr w:type="spellEnd"/>
            <w:r w:rsidRPr="001E59C5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10 a.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III.2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Stammkonstanz, Konsonantische Ableitung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Lant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Könich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10 b.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III.3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 xml:space="preserve">Verschmelzung an der </w:t>
            </w:r>
            <w:proofErr w:type="spellStart"/>
            <w:r w:rsidRPr="001E59C5">
              <w:rPr>
                <w:rFonts w:cstheme="minorHAnsi"/>
                <w:szCs w:val="24"/>
              </w:rPr>
              <w:t>Morphemgrenze</w:t>
            </w:r>
            <w:proofErr w:type="spellEnd"/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Fahrad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abiegen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8, 9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9067" w:type="dxa"/>
            <w:gridSpan w:val="4"/>
            <w:shd w:val="clear" w:color="auto" w:fill="D9D9D9" w:themeFill="background1" w:themeFillShade="D9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IV. Syntaktisches Prinzip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IV.1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Groß</w:t>
            </w:r>
            <w:r>
              <w:rPr>
                <w:rFonts w:cstheme="minorHAnsi"/>
                <w:szCs w:val="24"/>
              </w:rPr>
              <w:t>-</w:t>
            </w:r>
            <w:r w:rsidRPr="001E59C5">
              <w:rPr>
                <w:rFonts w:cstheme="minorHAnsi"/>
                <w:szCs w:val="24"/>
              </w:rPr>
              <w:t>/Kleinschreibung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*</w:t>
            </w:r>
            <w:proofErr w:type="spellStart"/>
            <w:r>
              <w:rPr>
                <w:rFonts w:cstheme="minorHAnsi"/>
                <w:szCs w:val="24"/>
              </w:rPr>
              <w:t>pullover</w:t>
            </w:r>
            <w:proofErr w:type="spellEnd"/>
            <w:r>
              <w:rPr>
                <w:rFonts w:cstheme="minorHAnsi"/>
                <w:szCs w:val="24"/>
              </w:rPr>
              <w:t xml:space="preserve">, das *schöne </w:t>
            </w:r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IV.2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Getrennt</w:t>
            </w:r>
            <w:r>
              <w:rPr>
                <w:rFonts w:cstheme="minorHAnsi"/>
                <w:szCs w:val="24"/>
              </w:rPr>
              <w:t>-</w:t>
            </w:r>
            <w:r w:rsidRPr="001E59C5">
              <w:rPr>
                <w:rFonts w:cstheme="minorHAnsi"/>
                <w:szCs w:val="24"/>
              </w:rPr>
              <w:t>/Zusammenschreibung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</w:t>
            </w:r>
            <w:proofErr w:type="spellStart"/>
            <w:r w:rsidRPr="001E59C5">
              <w:rPr>
                <w:rFonts w:cstheme="minorHAnsi"/>
                <w:szCs w:val="24"/>
              </w:rPr>
              <w:t>unddann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über_fallen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9067" w:type="dxa"/>
            <w:gridSpan w:val="4"/>
            <w:shd w:val="clear" w:color="auto" w:fill="BFBFBF" w:themeFill="background1" w:themeFillShade="BF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V. Sonstiges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</w:p>
        </w:tc>
      </w:tr>
      <w:tr w:rsidR="00B754BA" w:rsidRPr="00C77C2F" w:rsidTr="00B754BA">
        <w:tc>
          <w:tcPr>
            <w:tcW w:w="595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V.1</w:t>
            </w:r>
          </w:p>
        </w:tc>
        <w:tc>
          <w:tcPr>
            <w:tcW w:w="5070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Ausnahmen (Merkwörter, Funktionswörter, Affixe)</w:t>
            </w:r>
          </w:p>
        </w:tc>
        <w:tc>
          <w:tcPr>
            <w:tcW w:w="1493" w:type="dxa"/>
          </w:tcPr>
          <w:p w:rsidR="00B754BA" w:rsidRPr="001E59C5" w:rsidRDefault="00B754BA" w:rsidP="00DF6525">
            <w:pPr>
              <w:keepNext/>
              <w:keepLines/>
              <w:jc w:val="left"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*Meis, *</w:t>
            </w:r>
            <w:proofErr w:type="spellStart"/>
            <w:r w:rsidRPr="001E59C5">
              <w:rPr>
                <w:rFonts w:cstheme="minorHAnsi"/>
                <w:szCs w:val="24"/>
              </w:rPr>
              <w:t>inen</w:t>
            </w:r>
            <w:proofErr w:type="spellEnd"/>
            <w:r w:rsidRPr="001E59C5">
              <w:rPr>
                <w:rFonts w:cstheme="minorHAnsi"/>
                <w:szCs w:val="24"/>
              </w:rPr>
              <w:t>, *</w:t>
            </w:r>
            <w:proofErr w:type="spellStart"/>
            <w:r w:rsidRPr="001E59C5">
              <w:rPr>
                <w:rFonts w:cstheme="minorHAnsi"/>
                <w:szCs w:val="24"/>
              </w:rPr>
              <w:t>apholen</w:t>
            </w:r>
            <w:proofErr w:type="spellEnd"/>
          </w:p>
        </w:tc>
        <w:tc>
          <w:tcPr>
            <w:tcW w:w="1909" w:type="dxa"/>
            <w:shd w:val="clear" w:color="auto" w:fill="E5DFEC" w:themeFill="accent4" w:themeFillTint="33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  <w:r w:rsidRPr="001E59C5">
              <w:rPr>
                <w:rFonts w:cstheme="minorHAnsi"/>
                <w:szCs w:val="24"/>
              </w:rPr>
              <w:t>11, 12, 9</w:t>
            </w:r>
          </w:p>
        </w:tc>
        <w:tc>
          <w:tcPr>
            <w:tcW w:w="6096" w:type="dxa"/>
            <w:shd w:val="clear" w:color="auto" w:fill="FFFFFF" w:themeFill="background1"/>
          </w:tcPr>
          <w:p w:rsidR="00B754BA" w:rsidRPr="001E59C5" w:rsidRDefault="00B754BA" w:rsidP="00DF6525">
            <w:pPr>
              <w:keepNext/>
              <w:keepLines/>
              <w:rPr>
                <w:rFonts w:cstheme="minorHAnsi"/>
                <w:szCs w:val="24"/>
              </w:rPr>
            </w:pPr>
          </w:p>
        </w:tc>
      </w:tr>
    </w:tbl>
    <w:p w:rsidR="00365C5C" w:rsidRDefault="00365C5C" w:rsidP="00B3418B">
      <w:pPr>
        <w:pStyle w:val="Beschriftung"/>
      </w:pPr>
    </w:p>
    <w:p w:rsidR="00464243" w:rsidRDefault="00B3418B" w:rsidP="00B754BA">
      <w:pPr>
        <w:pStyle w:val="Beschriftung"/>
        <w:rPr>
          <w:rFonts w:cstheme="minorHAnsi"/>
        </w:rPr>
      </w:pPr>
      <w:r w:rsidRPr="00791EA3">
        <w:t xml:space="preserve">Tabelle </w:t>
      </w:r>
      <w:fldSimple w:instr=" SEQ Tabelle \* ARABIC ">
        <w:r>
          <w:rPr>
            <w:noProof/>
          </w:rPr>
          <w:t>4</w:t>
        </w:r>
      </w:fldSimple>
      <w:r w:rsidRPr="00791EA3">
        <w:t>: Rechtschreibfehlerkategorien (</w:t>
      </w:r>
      <w:r w:rsidRPr="00791EA3">
        <w:rPr>
          <w:rFonts w:cstheme="minorHAnsi"/>
        </w:rPr>
        <w:t>Weitere Kategorien vgl. z.</w:t>
      </w:r>
      <w:r>
        <w:rPr>
          <w:rFonts w:cstheme="minorHAnsi"/>
        </w:rPr>
        <w:t xml:space="preserve"> </w:t>
      </w:r>
      <w:r w:rsidRPr="00791EA3">
        <w:rPr>
          <w:rFonts w:cstheme="minorHAnsi"/>
        </w:rPr>
        <w:t xml:space="preserve">B. Fay 2010, Reichardt 2022, </w:t>
      </w:r>
      <w:proofErr w:type="spellStart"/>
      <w:r w:rsidRPr="00791EA3">
        <w:rPr>
          <w:rFonts w:cstheme="minorHAnsi"/>
        </w:rPr>
        <w:t>Herné</w:t>
      </w:r>
      <w:proofErr w:type="spellEnd"/>
      <w:r>
        <w:rPr>
          <w:rFonts w:cstheme="minorHAnsi"/>
        </w:rPr>
        <w:t>/Naumann</w:t>
      </w:r>
      <w:r w:rsidRPr="00791EA3">
        <w:rPr>
          <w:rFonts w:cstheme="minorHAnsi"/>
        </w:rPr>
        <w:t xml:space="preserve"> 2005 u.v.a.m.). Die rechte Spalte zeigt Wortkategorien aus dem Rechtschreib-Grundwortschatz, die das Phänomen des Rechtschreibfehlers abdecken und also in der Förderung verwendet werden können. Leere Kästchen bedeuten, dass keine spezifische Kategorie gebraucht wird.</w:t>
      </w:r>
    </w:p>
    <w:p w:rsidR="00266236" w:rsidRDefault="00266236" w:rsidP="00266236">
      <w:pPr>
        <w:pStyle w:val="Listenabsatz"/>
        <w:numPr>
          <w:ilvl w:val="0"/>
          <w:numId w:val="1"/>
        </w:numPr>
      </w:pPr>
      <w:r>
        <w:lastRenderedPageBreak/>
        <w:t xml:space="preserve">Notieren Sie: </w:t>
      </w:r>
    </w:p>
    <w:p w:rsidR="00266236" w:rsidRDefault="00266236" w:rsidP="00266236">
      <w:pPr>
        <w:pStyle w:val="Listenabsatz"/>
        <w:numPr>
          <w:ilvl w:val="0"/>
          <w:numId w:val="2"/>
        </w:numPr>
      </w:pPr>
      <w:r>
        <w:t>Was kann die Schülerin/der Schüler schon?</w:t>
      </w:r>
    </w:p>
    <w:p w:rsidR="00266236" w:rsidRDefault="00266236" w:rsidP="00266236">
      <w:pPr>
        <w:pStyle w:val="Listenabsatz"/>
        <w:numPr>
          <w:ilvl w:val="0"/>
          <w:numId w:val="2"/>
        </w:numPr>
      </w:pPr>
      <w:r>
        <w:t xml:space="preserve"> Beziehen Sie dabei auch den Text als Ganzes ein. </w:t>
      </w:r>
    </w:p>
    <w:p w:rsidR="00620C00" w:rsidRDefault="00620C00" w:rsidP="00620C00">
      <w:pPr>
        <w:pStyle w:val="Listenabsatz"/>
        <w:numPr>
          <w:ilvl w:val="0"/>
          <w:numId w:val="1"/>
        </w:numPr>
      </w:pPr>
      <w:r>
        <w:t>Analysieren Sie die Fehlerschreibungen in Ihrem Schülertext.</w:t>
      </w:r>
    </w:p>
    <w:p w:rsidR="00620C00" w:rsidRDefault="00620C00" w:rsidP="00620C00">
      <w:pPr>
        <w:pStyle w:val="Listenabsatz"/>
        <w:numPr>
          <w:ilvl w:val="0"/>
          <w:numId w:val="1"/>
        </w:numPr>
      </w:pPr>
      <w:r>
        <w:t>Welche Schwerpunkte stellen Sie fest?</w:t>
      </w:r>
      <w:r w:rsidR="003B1AE2">
        <w:t xml:space="preserve"> </w:t>
      </w:r>
    </w:p>
    <w:p w:rsidR="00620C00" w:rsidRDefault="00620C00" w:rsidP="00620C00">
      <w:pPr>
        <w:pStyle w:val="Listenabsatz"/>
        <w:numPr>
          <w:ilvl w:val="0"/>
          <w:numId w:val="1"/>
        </w:numPr>
      </w:pPr>
      <w:r>
        <w:t xml:space="preserve">Welche lernförderlichen Übungen bieten Sie an? </w:t>
      </w:r>
    </w:p>
    <w:p w:rsidR="003B1AE2" w:rsidRDefault="003B1AE2" w:rsidP="003B1AE2">
      <w:pPr>
        <w:pStyle w:val="Listenabsatz"/>
        <w:numPr>
          <w:ilvl w:val="0"/>
          <w:numId w:val="4"/>
        </w:numPr>
      </w:pPr>
      <w:r>
        <w:t>Legen Sie fest, an welchem Fehlerschwerpunkt das Kind arbeiten soll.</w:t>
      </w:r>
      <w:bookmarkStart w:id="0" w:name="_GoBack"/>
      <w:bookmarkEnd w:id="0"/>
    </w:p>
    <w:p w:rsidR="00620C00" w:rsidRDefault="00620C00" w:rsidP="00620C00">
      <w:pPr>
        <w:pStyle w:val="Listenabsatz"/>
        <w:numPr>
          <w:ilvl w:val="0"/>
          <w:numId w:val="3"/>
        </w:numPr>
      </w:pPr>
      <w:r>
        <w:t>Berücksichtigen Sie dabei die Klassenstufe, in der sich das Kind befindet.</w:t>
      </w:r>
    </w:p>
    <w:p w:rsidR="00620C00" w:rsidRDefault="00620C00" w:rsidP="00620C00">
      <w:pPr>
        <w:pStyle w:val="Listenabsatz"/>
        <w:numPr>
          <w:ilvl w:val="0"/>
          <w:numId w:val="3"/>
        </w:numPr>
      </w:pPr>
      <w:r>
        <w:t>Berücksichtigen Sie außerdem die Fehlerschreibungen hinsichtlich der Erwerbsprogression. (Solange Kin</w:t>
      </w:r>
      <w:r w:rsidR="00131D77">
        <w:t xml:space="preserve">der noch keine Sicherheit im Bereich der alphabetischen Verschriftungen und der Silbengliederung mit den typischen </w:t>
      </w:r>
      <w:proofErr w:type="gramStart"/>
      <w:r w:rsidR="00131D77">
        <w:t>Wortendungen  -</w:t>
      </w:r>
      <w:proofErr w:type="gramEnd"/>
      <w:r w:rsidR="00131D77">
        <w:t xml:space="preserve"> e, -en, -</w:t>
      </w:r>
      <w:proofErr w:type="spellStart"/>
      <w:r w:rsidR="00131D77">
        <w:t>el</w:t>
      </w:r>
      <w:proofErr w:type="spellEnd"/>
      <w:r w:rsidR="00131D77">
        <w:t>, -er haben, sollte darauf der Schwerpunkt der Förderung liegen.)</w:t>
      </w:r>
    </w:p>
    <w:p w:rsidR="00620C00" w:rsidRPr="00620C00" w:rsidRDefault="00620C00" w:rsidP="00620C00">
      <w:pPr>
        <w:pStyle w:val="Listenabsatz"/>
        <w:ind w:left="1440"/>
      </w:pPr>
    </w:p>
    <w:sectPr w:rsidR="00620C00" w:rsidRPr="00620C00" w:rsidSect="00B754BA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2B" w:rsidRDefault="00255A2B" w:rsidP="00255A2B">
      <w:pPr>
        <w:spacing w:after="0" w:line="240" w:lineRule="auto"/>
      </w:pPr>
      <w:r>
        <w:separator/>
      </w:r>
    </w:p>
  </w:endnote>
  <w:endnote w:type="continuationSeparator" w:id="0">
    <w:p w:rsidR="00255A2B" w:rsidRDefault="00255A2B" w:rsidP="0025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venirNext LT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2B" w:rsidRDefault="00255A2B" w:rsidP="00255A2B">
      <w:pPr>
        <w:spacing w:after="0" w:line="240" w:lineRule="auto"/>
      </w:pPr>
      <w:r>
        <w:separator/>
      </w:r>
    </w:p>
  </w:footnote>
  <w:footnote w:type="continuationSeparator" w:id="0">
    <w:p w:rsidR="00255A2B" w:rsidRDefault="00255A2B" w:rsidP="0025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2B" w:rsidRPr="00B754BA" w:rsidRDefault="00255A2B" w:rsidP="00255A2B">
    <w:pPr>
      <w:pStyle w:val="Kopfzeile"/>
      <w:jc w:val="left"/>
      <w:rPr>
        <w:color w:val="000000" w:themeColor="text1"/>
        <w:szCs w:val="24"/>
      </w:rPr>
    </w:pPr>
    <w:r w:rsidRPr="00B754BA">
      <w:rPr>
        <w:color w:val="000000" w:themeColor="text1"/>
      </w:rPr>
      <w:t>Rechtsch</w:t>
    </w:r>
    <w:r w:rsidR="00F57791">
      <w:rPr>
        <w:color w:val="000000" w:themeColor="text1"/>
      </w:rPr>
      <w:t>r</w:t>
    </w:r>
    <w:r w:rsidRPr="00B754BA">
      <w:rPr>
        <w:color w:val="000000" w:themeColor="text1"/>
      </w:rPr>
      <w:t xml:space="preserve">eibkompetenz diagnostizieren. </w:t>
    </w:r>
    <w:proofErr w:type="gramStart"/>
    <w:r w:rsidRPr="00B754BA">
      <w:rPr>
        <w:color w:val="000000" w:themeColor="text1"/>
      </w:rPr>
      <w:t>in</w:t>
    </w:r>
    <w:proofErr w:type="gramEnd"/>
    <w:r w:rsidRPr="00B754BA">
      <w:rPr>
        <w:color w:val="000000" w:themeColor="text1"/>
      </w:rPr>
      <w:t xml:space="preserve">: </w:t>
    </w:r>
    <w:r w:rsidRPr="00B754BA">
      <w:rPr>
        <w:rStyle w:val="A3"/>
        <w:color w:val="000000" w:themeColor="text1"/>
        <w:sz w:val="24"/>
        <w:szCs w:val="24"/>
      </w:rPr>
      <w:t>Institut für Qualitätsentwicklung an Sc</w:t>
    </w:r>
    <w:r w:rsidRPr="00B754BA">
      <w:rPr>
        <w:rStyle w:val="A3"/>
        <w:color w:val="000000" w:themeColor="text1"/>
        <w:sz w:val="24"/>
        <w:szCs w:val="24"/>
      </w:rPr>
      <w:t xml:space="preserve">hulen Schleswig-Holstein (2024) (Hrsg.): </w:t>
    </w:r>
    <w:r w:rsidR="00BE2F9A">
      <w:rPr>
        <w:rStyle w:val="A3"/>
        <w:color w:val="000000" w:themeColor="text1"/>
        <w:sz w:val="24"/>
        <w:szCs w:val="24"/>
      </w:rPr>
      <w:t xml:space="preserve">Handreichung: </w:t>
    </w:r>
    <w:r w:rsidRPr="00B754BA">
      <w:rPr>
        <w:color w:val="000000" w:themeColor="text1"/>
        <w:szCs w:val="24"/>
      </w:rPr>
      <w:t>Mit dem schleswig-holsteinischen Rechtschreibgrundwortschatz unterrichten, S. 38.</w:t>
    </w:r>
  </w:p>
  <w:p w:rsidR="00255A2B" w:rsidRDefault="00255A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0D99"/>
    <w:multiLevelType w:val="hybridMultilevel"/>
    <w:tmpl w:val="A2EEF5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F6166"/>
    <w:multiLevelType w:val="hybridMultilevel"/>
    <w:tmpl w:val="B8CA9A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B93BB0"/>
    <w:multiLevelType w:val="hybridMultilevel"/>
    <w:tmpl w:val="4112BF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67468D"/>
    <w:multiLevelType w:val="hybridMultilevel"/>
    <w:tmpl w:val="AE3C9F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B"/>
    <w:rsid w:val="000E4A45"/>
    <w:rsid w:val="00131D77"/>
    <w:rsid w:val="00255A2B"/>
    <w:rsid w:val="00266236"/>
    <w:rsid w:val="00365C5C"/>
    <w:rsid w:val="003B1AE2"/>
    <w:rsid w:val="00464243"/>
    <w:rsid w:val="00620C00"/>
    <w:rsid w:val="00B3418B"/>
    <w:rsid w:val="00B754BA"/>
    <w:rsid w:val="00BE2F9A"/>
    <w:rsid w:val="00DD218D"/>
    <w:rsid w:val="00F5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FDA07-1CFF-4AAC-93F1-C74605D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18B"/>
    <w:pPr>
      <w:spacing w:after="120" w:line="259" w:lineRule="auto"/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B3418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41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41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41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18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5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A2B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25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A2B"/>
    <w:rPr>
      <w:sz w:val="24"/>
    </w:rPr>
  </w:style>
  <w:style w:type="character" w:customStyle="1" w:styleId="A3">
    <w:name w:val="A3"/>
    <w:uiPriority w:val="99"/>
    <w:rsid w:val="00255A2B"/>
    <w:rPr>
      <w:rFonts w:cs="AvenirNext LT Pro Regular"/>
      <w:color w:val="484747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</dc:creator>
  <cp:lastModifiedBy>Claudia T.</cp:lastModifiedBy>
  <cp:revision>7</cp:revision>
  <dcterms:created xsi:type="dcterms:W3CDTF">2024-06-10T08:48:00Z</dcterms:created>
  <dcterms:modified xsi:type="dcterms:W3CDTF">2024-06-10T09:18:00Z</dcterms:modified>
</cp:coreProperties>
</file>