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67823" w14:textId="77777777" w:rsidR="00A70557" w:rsidRDefault="00A70557">
      <w:pPr>
        <w:rPr>
          <w:rFonts w:cs="Arial"/>
          <w:sz w:val="24"/>
        </w:rPr>
      </w:pPr>
      <w:r>
        <w:rPr>
          <w:rFonts w:cs="Arial"/>
          <w:sz w:val="24"/>
        </w:rPr>
        <w:t>Grundlage des Vorbereitungsdienstes sind die Ausbildungs- und Prüfungsordnung und die dazu verfassten IQSH-Veröffentlichungen. Ausbildungsstandards, Kompetenzbegriff, Kerncurricula der Fächer und festgelegte Kriterien für die einzelnen Prüfungsteile sind bestehende Orientierungspunkte für Ausbildung, Ausbildungsberatung, Unterrichtsbeobachtung und Bewertung.</w:t>
      </w:r>
    </w:p>
    <w:p w14:paraId="51DBA2B1" w14:textId="77777777" w:rsidR="00A70557" w:rsidRDefault="00A70557">
      <w:pPr>
        <w:tabs>
          <w:tab w:val="right" w:pos="9648"/>
        </w:tabs>
        <w:rPr>
          <w:rFonts w:cs="Arial"/>
          <w:sz w:val="24"/>
        </w:rPr>
      </w:pPr>
      <w:r>
        <w:rPr>
          <w:rFonts w:cs="Arial"/>
          <w:sz w:val="24"/>
        </w:rPr>
        <w:t>Die Fachteams der Abteilung für Gymnasien haben als Hilfestellung für die Beobachtung von Unterricht, Beratung und gemeinsame Reflexion kompetenzorientierte Beobachtungsbögen entwickelt, die der gleichen Systematik folgen und die geltenden Kriterien integrieren. Die jeweiligen Unterpunkte sind Gesprächs- und Reflexionsgrundlage für Beratung und Bewertung. Die Kataloge sind als offene zu verstehen.</w:t>
      </w:r>
    </w:p>
    <w:p w14:paraId="71FD412E" w14:textId="4BAB3654" w:rsidR="00A70557" w:rsidRDefault="00A70557">
      <w:pPr>
        <w:tabs>
          <w:tab w:val="right" w:pos="9648"/>
        </w:tabs>
        <w:rPr>
          <w:rFonts w:cs="Arial"/>
          <w:sz w:val="18"/>
          <w:szCs w:val="18"/>
        </w:rPr>
      </w:pPr>
      <w:r>
        <w:rPr>
          <w:rFonts w:cs="Arial"/>
          <w:sz w:val="18"/>
          <w:szCs w:val="18"/>
        </w:rPr>
        <w:t>(Stand der Bearbeitung: April 20</w:t>
      </w:r>
      <w:r w:rsidR="00297DFC">
        <w:rPr>
          <w:rFonts w:cs="Arial"/>
          <w:sz w:val="18"/>
          <w:szCs w:val="18"/>
        </w:rPr>
        <w:t>20</w:t>
      </w:r>
      <w:r>
        <w:rPr>
          <w:rFonts w:cs="Arial"/>
          <w:sz w:val="18"/>
          <w:szCs w:val="18"/>
        </w:rPr>
        <w:t>)</w:t>
      </w:r>
    </w:p>
    <w:p w14:paraId="1BBA7C99" w14:textId="77777777" w:rsidR="00A70557" w:rsidRDefault="00A70557">
      <w:pPr>
        <w:pageBreakBefore/>
        <w:tabs>
          <w:tab w:val="right" w:pos="9648"/>
        </w:tabs>
        <w:rPr>
          <w:rFonts w:cs="Arial"/>
          <w:sz w:val="18"/>
          <w:szCs w:val="18"/>
        </w:rPr>
      </w:pPr>
    </w:p>
    <w:p w14:paraId="5C4AA8DC" w14:textId="52369EBE" w:rsidR="00A70557" w:rsidRDefault="00A70557">
      <w:pPr>
        <w:tabs>
          <w:tab w:val="right" w:pos="9648"/>
        </w:tabs>
        <w:rPr>
          <w:b/>
          <w:i/>
          <w:color w:val="000000"/>
          <w:u w:val="single"/>
        </w:rPr>
      </w:pPr>
      <w:r>
        <w:rPr>
          <w:b/>
          <w:i/>
          <w:color w:val="000000"/>
          <w:u w:val="single"/>
        </w:rPr>
        <w:t xml:space="preserve">Kompetenzorientierte Bewertungskriterien Mathematik (APO </w:t>
      </w:r>
      <w:r w:rsidR="00297DFC">
        <w:rPr>
          <w:b/>
          <w:i/>
          <w:color w:val="000000"/>
          <w:u w:val="single"/>
        </w:rPr>
        <w:t>Jan</w:t>
      </w:r>
      <w:r w:rsidR="00CA156B">
        <w:rPr>
          <w:b/>
          <w:i/>
          <w:color w:val="000000"/>
          <w:u w:val="single"/>
        </w:rPr>
        <w:t>uar</w:t>
      </w:r>
      <w:r w:rsidR="00297DFC">
        <w:rPr>
          <w:b/>
          <w:i/>
          <w:color w:val="000000"/>
          <w:u w:val="single"/>
        </w:rPr>
        <w:t xml:space="preserve"> 2020</w:t>
      </w:r>
      <w:r>
        <w:rPr>
          <w:b/>
          <w:i/>
          <w:color w:val="000000"/>
          <w:u w:val="single"/>
        </w:rPr>
        <w:t>)</w:t>
      </w:r>
    </w:p>
    <w:p w14:paraId="373CF15D" w14:textId="77777777" w:rsidR="00A70557" w:rsidRDefault="00A70557">
      <w:pPr>
        <w:tabs>
          <w:tab w:val="right" w:pos="9648"/>
        </w:tabs>
        <w:rPr>
          <w:color w:val="000000"/>
          <w:sz w:val="18"/>
        </w:rPr>
      </w:pPr>
    </w:p>
    <w:tbl>
      <w:tblPr>
        <w:tblW w:w="0" w:type="auto"/>
        <w:tblInd w:w="-7" w:type="dxa"/>
        <w:tblLayout w:type="fixed"/>
        <w:tblCellMar>
          <w:left w:w="70" w:type="dxa"/>
          <w:right w:w="70" w:type="dxa"/>
        </w:tblCellMar>
        <w:tblLook w:val="0000" w:firstRow="0" w:lastRow="0" w:firstColumn="0" w:lastColumn="0" w:noHBand="0" w:noVBand="0"/>
      </w:tblPr>
      <w:tblGrid>
        <w:gridCol w:w="354"/>
        <w:gridCol w:w="10270"/>
      </w:tblGrid>
      <w:tr w:rsidR="00A70557" w14:paraId="4BFB160F" w14:textId="77777777">
        <w:tc>
          <w:tcPr>
            <w:tcW w:w="354" w:type="dxa"/>
            <w:tcBorders>
              <w:top w:val="single" w:sz="4" w:space="0" w:color="000000"/>
              <w:left w:val="single" w:sz="4" w:space="0" w:color="000000"/>
              <w:bottom w:val="single" w:sz="4" w:space="0" w:color="000000"/>
            </w:tcBorders>
          </w:tcPr>
          <w:p w14:paraId="380456C6" w14:textId="77777777" w:rsidR="00A70557" w:rsidRDefault="00A70557">
            <w:pPr>
              <w:tabs>
                <w:tab w:val="right" w:pos="9648"/>
              </w:tabs>
              <w:snapToGrid w:val="0"/>
              <w:rPr>
                <w:color w:val="000000"/>
                <w:sz w:val="18"/>
              </w:rPr>
            </w:pPr>
            <w:r>
              <w:rPr>
                <w:color w:val="000000"/>
                <w:sz w:val="18"/>
              </w:rPr>
              <w:t>1.</w:t>
            </w:r>
          </w:p>
        </w:tc>
        <w:tc>
          <w:tcPr>
            <w:tcW w:w="10270" w:type="dxa"/>
            <w:tcBorders>
              <w:top w:val="single" w:sz="4" w:space="0" w:color="000000"/>
              <w:left w:val="single" w:sz="4" w:space="0" w:color="000000"/>
              <w:bottom w:val="single" w:sz="4" w:space="0" w:color="000000"/>
              <w:right w:val="single" w:sz="4" w:space="0" w:color="000000"/>
            </w:tcBorders>
            <w:shd w:val="clear" w:color="auto" w:fill="C0C0C0"/>
          </w:tcPr>
          <w:p w14:paraId="1981C98A" w14:textId="77777777" w:rsidR="00A70557" w:rsidRDefault="00A70557">
            <w:pPr>
              <w:tabs>
                <w:tab w:val="right" w:pos="9648"/>
              </w:tabs>
              <w:snapToGrid w:val="0"/>
              <w:rPr>
                <w:color w:val="000000"/>
                <w:sz w:val="18"/>
              </w:rPr>
            </w:pPr>
            <w:r>
              <w:rPr>
                <w:color w:val="000000"/>
                <w:sz w:val="18"/>
              </w:rPr>
              <w:t>Fachkompetenz</w:t>
            </w:r>
          </w:p>
          <w:p w14:paraId="231D8448" w14:textId="77777777" w:rsidR="00A70557" w:rsidRDefault="00A70557">
            <w:pPr>
              <w:tabs>
                <w:tab w:val="right" w:pos="9648"/>
              </w:tabs>
              <w:rPr>
                <w:color w:val="000000"/>
                <w:sz w:val="18"/>
              </w:rPr>
            </w:pPr>
          </w:p>
          <w:p w14:paraId="3E688D22" w14:textId="77777777" w:rsidR="00A70557" w:rsidRDefault="00A70557">
            <w:pPr>
              <w:tabs>
                <w:tab w:val="right" w:pos="9648"/>
              </w:tabs>
              <w:rPr>
                <w:color w:val="000000"/>
                <w:sz w:val="18"/>
              </w:rPr>
            </w:pPr>
            <w:r>
              <w:rPr>
                <w:color w:val="000000"/>
                <w:sz w:val="18"/>
              </w:rPr>
              <w:t>Hat die LiV sachlich und fachlich korrekt unterrichtet?</w:t>
            </w:r>
          </w:p>
        </w:tc>
      </w:tr>
      <w:tr w:rsidR="00A70557" w14:paraId="1557B4AE" w14:textId="77777777">
        <w:tc>
          <w:tcPr>
            <w:tcW w:w="354" w:type="dxa"/>
            <w:tcBorders>
              <w:top w:val="single" w:sz="4" w:space="0" w:color="000000"/>
              <w:left w:val="single" w:sz="4" w:space="0" w:color="000000"/>
              <w:bottom w:val="single" w:sz="4" w:space="0" w:color="000000"/>
            </w:tcBorders>
          </w:tcPr>
          <w:p w14:paraId="7A8A2CF0" w14:textId="77777777" w:rsidR="00A70557" w:rsidRDefault="00A70557">
            <w:pPr>
              <w:tabs>
                <w:tab w:val="right" w:pos="9648"/>
              </w:tabs>
              <w:snapToGrid w:val="0"/>
              <w:rPr>
                <w:color w:val="000000"/>
                <w:sz w:val="18"/>
              </w:rPr>
            </w:pPr>
          </w:p>
        </w:tc>
        <w:tc>
          <w:tcPr>
            <w:tcW w:w="10270" w:type="dxa"/>
            <w:tcBorders>
              <w:top w:val="single" w:sz="4" w:space="0" w:color="000000"/>
              <w:bottom w:val="single" w:sz="4" w:space="0" w:color="000000"/>
              <w:right w:val="single" w:sz="4" w:space="0" w:color="000000"/>
            </w:tcBorders>
          </w:tcPr>
          <w:p w14:paraId="66199F46" w14:textId="10F18AAE" w:rsidR="00CA156B" w:rsidRDefault="00A70557">
            <w:pPr>
              <w:tabs>
                <w:tab w:val="right" w:pos="9648"/>
              </w:tabs>
              <w:snapToGrid w:val="0"/>
              <w:ind w:left="170" w:hanging="170"/>
              <w:rPr>
                <w:b/>
                <w:color w:val="000000"/>
                <w:sz w:val="18"/>
              </w:rPr>
            </w:pPr>
            <w:r>
              <w:rPr>
                <w:rFonts w:ascii="Symbol" w:hAnsi="Symbol"/>
                <w:b/>
                <w:color w:val="000000"/>
                <w:sz w:val="18"/>
              </w:rPr>
              <w:t></w:t>
            </w:r>
            <w:r>
              <w:rPr>
                <w:b/>
                <w:color w:val="000000"/>
                <w:sz w:val="18"/>
              </w:rPr>
              <w:t> </w:t>
            </w:r>
            <w:r w:rsidR="00CA156B">
              <w:rPr>
                <w:b/>
                <w:color w:val="000000"/>
                <w:sz w:val="18"/>
              </w:rPr>
              <w:t>profunde und vernetzte Kenntnisse der Fachinhalte</w:t>
            </w:r>
          </w:p>
          <w:p w14:paraId="21EAFE2F" w14:textId="6E45541F" w:rsidR="00A70557" w:rsidRDefault="00CA156B">
            <w:pPr>
              <w:tabs>
                <w:tab w:val="right" w:pos="9648"/>
              </w:tabs>
              <w:snapToGrid w:val="0"/>
              <w:ind w:left="170" w:hanging="170"/>
              <w:rPr>
                <w:b/>
                <w:color w:val="000000"/>
                <w:sz w:val="18"/>
              </w:rPr>
            </w:pPr>
            <w:r>
              <w:rPr>
                <w:rFonts w:ascii="Symbol" w:hAnsi="Symbol"/>
                <w:b/>
                <w:color w:val="000000"/>
                <w:sz w:val="18"/>
              </w:rPr>
              <w:t></w:t>
            </w:r>
            <w:r>
              <w:rPr>
                <w:b/>
                <w:color w:val="000000"/>
                <w:sz w:val="18"/>
              </w:rPr>
              <w:t> </w:t>
            </w:r>
            <w:r w:rsidR="00A70557">
              <w:rPr>
                <w:b/>
                <w:color w:val="000000"/>
                <w:sz w:val="18"/>
              </w:rPr>
              <w:t xml:space="preserve">Sachkenntnisse in Bezug auf </w:t>
            </w:r>
            <w:r w:rsidR="00297DFC">
              <w:rPr>
                <w:b/>
                <w:color w:val="000000"/>
                <w:sz w:val="18"/>
              </w:rPr>
              <w:t>Fachanforderungen</w:t>
            </w:r>
            <w:r w:rsidR="00A70557">
              <w:rPr>
                <w:b/>
                <w:color w:val="000000"/>
                <w:sz w:val="18"/>
              </w:rPr>
              <w:t>, Schulinternes Fachcurriculum, Leitideen und mathematische</w:t>
            </w:r>
            <w:r w:rsidR="00ED7926">
              <w:rPr>
                <w:b/>
                <w:color w:val="000000"/>
                <w:sz w:val="18"/>
              </w:rPr>
              <w:t xml:space="preserve"> </w:t>
            </w:r>
            <w:r w:rsidR="00A70557">
              <w:rPr>
                <w:b/>
                <w:color w:val="000000"/>
                <w:sz w:val="18"/>
              </w:rPr>
              <w:t>Kompetenzen</w:t>
            </w:r>
          </w:p>
          <w:p w14:paraId="4F260274"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Kenntnis geeigneter Materialien und Medien</w:t>
            </w:r>
          </w:p>
          <w:p w14:paraId="0038EA85"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Berücksichtigung fachlicher und schulorganisatorischer Gegebenheiten</w:t>
            </w:r>
          </w:p>
          <w:p w14:paraId="2289A3A5"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xml:space="preserve"> Verwendung einer korrekten und angemessenen Fachsprache </w:t>
            </w:r>
          </w:p>
        </w:tc>
      </w:tr>
    </w:tbl>
    <w:p w14:paraId="60BB40DD" w14:textId="77777777" w:rsidR="00A70557" w:rsidRDefault="00A70557">
      <w:pPr>
        <w:tabs>
          <w:tab w:val="right" w:pos="9648"/>
        </w:tabs>
        <w:rPr>
          <w:color w:val="000000"/>
          <w:sz w:val="18"/>
        </w:rPr>
      </w:pPr>
    </w:p>
    <w:tbl>
      <w:tblPr>
        <w:tblW w:w="0" w:type="auto"/>
        <w:tblInd w:w="-7" w:type="dxa"/>
        <w:tblLayout w:type="fixed"/>
        <w:tblCellMar>
          <w:left w:w="70" w:type="dxa"/>
          <w:right w:w="70" w:type="dxa"/>
        </w:tblCellMar>
        <w:tblLook w:val="0000" w:firstRow="0" w:lastRow="0" w:firstColumn="0" w:lastColumn="0" w:noHBand="0" w:noVBand="0"/>
      </w:tblPr>
      <w:tblGrid>
        <w:gridCol w:w="354"/>
        <w:gridCol w:w="10270"/>
      </w:tblGrid>
      <w:tr w:rsidR="00A70557" w14:paraId="6E376126" w14:textId="77777777">
        <w:tc>
          <w:tcPr>
            <w:tcW w:w="354" w:type="dxa"/>
            <w:tcBorders>
              <w:top w:val="single" w:sz="4" w:space="0" w:color="000000"/>
              <w:left w:val="single" w:sz="4" w:space="0" w:color="000000"/>
              <w:bottom w:val="single" w:sz="4" w:space="0" w:color="000000"/>
            </w:tcBorders>
          </w:tcPr>
          <w:p w14:paraId="0AB44D55" w14:textId="77777777" w:rsidR="00A70557" w:rsidRDefault="00A70557">
            <w:pPr>
              <w:tabs>
                <w:tab w:val="right" w:pos="9648"/>
              </w:tabs>
              <w:snapToGrid w:val="0"/>
              <w:rPr>
                <w:color w:val="000000"/>
                <w:sz w:val="18"/>
              </w:rPr>
            </w:pPr>
            <w:r>
              <w:rPr>
                <w:color w:val="000000"/>
                <w:sz w:val="18"/>
              </w:rPr>
              <w:t>2.</w:t>
            </w:r>
          </w:p>
        </w:tc>
        <w:tc>
          <w:tcPr>
            <w:tcW w:w="10270" w:type="dxa"/>
            <w:tcBorders>
              <w:top w:val="single" w:sz="4" w:space="0" w:color="000000"/>
              <w:left w:val="single" w:sz="4" w:space="0" w:color="000000"/>
              <w:bottom w:val="single" w:sz="4" w:space="0" w:color="000000"/>
              <w:right w:val="single" w:sz="4" w:space="0" w:color="000000"/>
            </w:tcBorders>
            <w:shd w:val="clear" w:color="auto" w:fill="C0C0C0"/>
          </w:tcPr>
          <w:p w14:paraId="420770B3" w14:textId="77777777" w:rsidR="00A70557" w:rsidRDefault="00A70557">
            <w:pPr>
              <w:tabs>
                <w:tab w:val="right" w:pos="9648"/>
              </w:tabs>
              <w:snapToGrid w:val="0"/>
              <w:rPr>
                <w:color w:val="000000"/>
                <w:sz w:val="18"/>
              </w:rPr>
            </w:pPr>
            <w:r>
              <w:rPr>
                <w:color w:val="000000"/>
                <w:sz w:val="18"/>
              </w:rPr>
              <w:t>Didaktische Kompetenz</w:t>
            </w:r>
          </w:p>
          <w:p w14:paraId="327B4D0F" w14:textId="77777777" w:rsidR="00A70557" w:rsidRDefault="00A70557">
            <w:pPr>
              <w:tabs>
                <w:tab w:val="right" w:pos="9648"/>
              </w:tabs>
              <w:rPr>
                <w:color w:val="000000"/>
                <w:sz w:val="18"/>
              </w:rPr>
            </w:pPr>
          </w:p>
          <w:p w14:paraId="3F47FD9C" w14:textId="77777777" w:rsidR="00A70557" w:rsidRDefault="00A70557">
            <w:pPr>
              <w:tabs>
                <w:tab w:val="right" w:pos="9648"/>
              </w:tabs>
              <w:rPr>
                <w:color w:val="000000"/>
                <w:sz w:val="18"/>
              </w:rPr>
            </w:pPr>
            <w:r>
              <w:rPr>
                <w:color w:val="000000"/>
                <w:sz w:val="18"/>
              </w:rPr>
              <w:t>Hat die LiV den Unterricht sinnvoll strukturiert und flexibel auf sich verändernde Situationen reagiert?</w:t>
            </w:r>
          </w:p>
          <w:p w14:paraId="47D91640" w14:textId="77777777" w:rsidR="00A70557" w:rsidRDefault="00A70557">
            <w:pPr>
              <w:tabs>
                <w:tab w:val="right" w:pos="9648"/>
              </w:tabs>
              <w:rPr>
                <w:color w:val="000000"/>
                <w:sz w:val="18"/>
              </w:rPr>
            </w:pPr>
            <w:r>
              <w:rPr>
                <w:color w:val="000000"/>
                <w:sz w:val="18"/>
              </w:rPr>
              <w:t>Konnte die LIV ihr didaktisches Konzept und dessen Realisierung angemessen reflektieren?</w:t>
            </w:r>
          </w:p>
        </w:tc>
      </w:tr>
      <w:tr w:rsidR="00A70557" w14:paraId="673BBC36" w14:textId="77777777">
        <w:tc>
          <w:tcPr>
            <w:tcW w:w="354" w:type="dxa"/>
            <w:tcBorders>
              <w:top w:val="single" w:sz="4" w:space="0" w:color="000000"/>
              <w:left w:val="single" w:sz="4" w:space="0" w:color="000000"/>
              <w:bottom w:val="single" w:sz="4" w:space="0" w:color="000000"/>
            </w:tcBorders>
          </w:tcPr>
          <w:p w14:paraId="5D96EF15" w14:textId="77777777" w:rsidR="00A70557" w:rsidRDefault="00A70557">
            <w:pPr>
              <w:tabs>
                <w:tab w:val="right" w:pos="9648"/>
              </w:tabs>
              <w:snapToGrid w:val="0"/>
              <w:rPr>
                <w:color w:val="000000"/>
                <w:sz w:val="18"/>
              </w:rPr>
            </w:pPr>
          </w:p>
        </w:tc>
        <w:tc>
          <w:tcPr>
            <w:tcW w:w="10270" w:type="dxa"/>
            <w:tcBorders>
              <w:top w:val="single" w:sz="4" w:space="0" w:color="000000"/>
              <w:bottom w:val="single" w:sz="4" w:space="0" w:color="000000"/>
              <w:right w:val="single" w:sz="4" w:space="0" w:color="000000"/>
            </w:tcBorders>
          </w:tcPr>
          <w:p w14:paraId="025ED146" w14:textId="77777777" w:rsidR="00A70557" w:rsidRDefault="00A70557">
            <w:pPr>
              <w:tabs>
                <w:tab w:val="right" w:pos="9648"/>
              </w:tabs>
              <w:snapToGrid w:val="0"/>
              <w:ind w:left="170" w:hanging="170"/>
              <w:rPr>
                <w:b/>
                <w:color w:val="000000"/>
                <w:sz w:val="18"/>
              </w:rPr>
            </w:pPr>
            <w:r>
              <w:rPr>
                <w:rFonts w:ascii="Symbol" w:hAnsi="Symbol"/>
                <w:b/>
                <w:color w:val="000000"/>
                <w:sz w:val="18"/>
              </w:rPr>
              <w:t></w:t>
            </w:r>
            <w:r>
              <w:rPr>
                <w:b/>
                <w:color w:val="000000"/>
                <w:sz w:val="18"/>
              </w:rPr>
              <w:t> tragfähige und funktionale didaktische Analyse mit Reduktion und Schwerpunktsetzung</w:t>
            </w:r>
          </w:p>
          <w:p w14:paraId="0A8F1957" w14:textId="53AC3121"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klare und angemessene Definition des Themas und der Unterrichtsziele unter Verwendung von inhaltsbezogenen und prozessbezogenen</w:t>
            </w:r>
            <w:r w:rsidR="005A1710">
              <w:rPr>
                <w:b/>
                <w:color w:val="000000"/>
                <w:sz w:val="18"/>
              </w:rPr>
              <w:t>, auch digitale</w:t>
            </w:r>
            <w:r w:rsidR="00CA156B">
              <w:rPr>
                <w:b/>
                <w:color w:val="000000"/>
                <w:sz w:val="18"/>
              </w:rPr>
              <w:t>n</w:t>
            </w:r>
            <w:r>
              <w:rPr>
                <w:b/>
                <w:color w:val="000000"/>
                <w:sz w:val="18"/>
              </w:rPr>
              <w:t xml:space="preserve"> Kompetenzen</w:t>
            </w:r>
          </w:p>
          <w:p w14:paraId="2ECBC6D8"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Einordnung des Stundenkonzeptes in den Kontext einer Einheit</w:t>
            </w:r>
          </w:p>
          <w:p w14:paraId="5A982BB1"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Einbettung der Aufgabenstellung in einen adressatengerechten Kontext / altersgemäßes Niveau</w:t>
            </w:r>
          </w:p>
          <w:p w14:paraId="1AD11116"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xml:space="preserve"> Verknüpfung der Einzelphasen </w:t>
            </w:r>
            <w:proofErr w:type="gramStart"/>
            <w:r>
              <w:rPr>
                <w:b/>
                <w:color w:val="000000"/>
                <w:sz w:val="18"/>
              </w:rPr>
              <w:t>(,roter</w:t>
            </w:r>
            <w:proofErr w:type="gramEnd"/>
            <w:r>
              <w:rPr>
                <w:b/>
                <w:color w:val="000000"/>
                <w:sz w:val="18"/>
              </w:rPr>
              <w:t xml:space="preserve"> Faden') der Stunde; Ergebnisorientierung</w:t>
            </w:r>
          </w:p>
          <w:p w14:paraId="61894AD0" w14:textId="77777777" w:rsidR="005A1710" w:rsidRPr="00CA156B" w:rsidRDefault="005A1710">
            <w:pPr>
              <w:tabs>
                <w:tab w:val="right" w:pos="9648"/>
              </w:tabs>
              <w:ind w:left="170" w:hanging="170"/>
              <w:rPr>
                <w:b/>
                <w:bCs/>
                <w:color w:val="000000"/>
                <w:sz w:val="18"/>
                <w:szCs w:val="18"/>
              </w:rPr>
            </w:pPr>
            <w:r>
              <w:rPr>
                <w:rFonts w:ascii="Symbol" w:hAnsi="Symbol"/>
                <w:b/>
                <w:color w:val="000000"/>
                <w:sz w:val="18"/>
              </w:rPr>
              <w:t></w:t>
            </w:r>
            <w:r>
              <w:rPr>
                <w:b/>
                <w:color w:val="000000"/>
                <w:sz w:val="18"/>
              </w:rPr>
              <w:t> </w:t>
            </w:r>
            <w:r w:rsidRPr="00CA156B">
              <w:rPr>
                <w:b/>
                <w:bCs/>
                <w:sz w:val="18"/>
                <w:szCs w:val="18"/>
              </w:rPr>
              <w:t>kognitive Aktivierung durch ergiebige Arbeitsaufträge</w:t>
            </w:r>
          </w:p>
          <w:p w14:paraId="6B07F4E3"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Funktionalität von Materialien und Medien</w:t>
            </w:r>
          </w:p>
          <w:p w14:paraId="2B4A94D0"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gewinnbringende Analyse und Reflexion der Stunde</w:t>
            </w:r>
          </w:p>
        </w:tc>
      </w:tr>
    </w:tbl>
    <w:p w14:paraId="79B05CD9" w14:textId="77777777" w:rsidR="00A70557" w:rsidRDefault="00A70557">
      <w:pPr>
        <w:tabs>
          <w:tab w:val="right" w:pos="9648"/>
        </w:tabs>
        <w:rPr>
          <w:color w:val="000000"/>
          <w:sz w:val="18"/>
        </w:rPr>
      </w:pPr>
    </w:p>
    <w:tbl>
      <w:tblPr>
        <w:tblW w:w="0" w:type="auto"/>
        <w:tblInd w:w="-7" w:type="dxa"/>
        <w:tblLayout w:type="fixed"/>
        <w:tblCellMar>
          <w:left w:w="70" w:type="dxa"/>
          <w:right w:w="70" w:type="dxa"/>
        </w:tblCellMar>
        <w:tblLook w:val="0000" w:firstRow="0" w:lastRow="0" w:firstColumn="0" w:lastColumn="0" w:noHBand="0" w:noVBand="0"/>
      </w:tblPr>
      <w:tblGrid>
        <w:gridCol w:w="354"/>
        <w:gridCol w:w="10270"/>
      </w:tblGrid>
      <w:tr w:rsidR="00A70557" w14:paraId="66A4C0F5" w14:textId="77777777">
        <w:tc>
          <w:tcPr>
            <w:tcW w:w="354" w:type="dxa"/>
            <w:tcBorders>
              <w:top w:val="single" w:sz="4" w:space="0" w:color="000000"/>
              <w:left w:val="single" w:sz="4" w:space="0" w:color="000000"/>
              <w:bottom w:val="single" w:sz="4" w:space="0" w:color="000000"/>
            </w:tcBorders>
          </w:tcPr>
          <w:p w14:paraId="7DE6ECFC" w14:textId="77777777" w:rsidR="00A70557" w:rsidRDefault="00A70557">
            <w:pPr>
              <w:tabs>
                <w:tab w:val="right" w:pos="9648"/>
              </w:tabs>
              <w:snapToGrid w:val="0"/>
              <w:rPr>
                <w:color w:val="000000"/>
                <w:sz w:val="18"/>
              </w:rPr>
            </w:pPr>
            <w:r>
              <w:rPr>
                <w:color w:val="000000"/>
                <w:sz w:val="18"/>
              </w:rPr>
              <w:t>3.</w:t>
            </w:r>
          </w:p>
        </w:tc>
        <w:tc>
          <w:tcPr>
            <w:tcW w:w="10270" w:type="dxa"/>
            <w:tcBorders>
              <w:top w:val="single" w:sz="4" w:space="0" w:color="000000"/>
              <w:left w:val="single" w:sz="4" w:space="0" w:color="000000"/>
              <w:bottom w:val="single" w:sz="4" w:space="0" w:color="000000"/>
              <w:right w:val="single" w:sz="4" w:space="0" w:color="000000"/>
            </w:tcBorders>
            <w:shd w:val="clear" w:color="auto" w:fill="C0C0C0"/>
          </w:tcPr>
          <w:p w14:paraId="1F1E7F01" w14:textId="77777777" w:rsidR="00A70557" w:rsidRDefault="00A70557">
            <w:pPr>
              <w:tabs>
                <w:tab w:val="right" w:pos="9648"/>
              </w:tabs>
              <w:snapToGrid w:val="0"/>
              <w:rPr>
                <w:color w:val="000000"/>
                <w:sz w:val="18"/>
              </w:rPr>
            </w:pPr>
            <w:r>
              <w:rPr>
                <w:color w:val="000000"/>
                <w:sz w:val="18"/>
              </w:rPr>
              <w:t>Methodische Kompetenz</w:t>
            </w:r>
          </w:p>
          <w:p w14:paraId="6FFAFBCA" w14:textId="77777777" w:rsidR="00A70557" w:rsidRDefault="00A70557">
            <w:pPr>
              <w:tabs>
                <w:tab w:val="right" w:pos="9648"/>
              </w:tabs>
              <w:rPr>
                <w:color w:val="000000"/>
                <w:sz w:val="18"/>
              </w:rPr>
            </w:pPr>
          </w:p>
          <w:p w14:paraId="0A9A5797" w14:textId="77777777" w:rsidR="00A70557" w:rsidRDefault="00A70557">
            <w:pPr>
              <w:tabs>
                <w:tab w:val="right" w:pos="9648"/>
              </w:tabs>
              <w:rPr>
                <w:color w:val="000000"/>
                <w:sz w:val="18"/>
              </w:rPr>
            </w:pPr>
            <w:r>
              <w:rPr>
                <w:color w:val="000000"/>
                <w:sz w:val="18"/>
              </w:rPr>
              <w:t>Hat die LiV die Selbstständigkeit der Lernenden u.a. durch schüleraktivierende Unterrichtsformen gefördert?</w:t>
            </w:r>
          </w:p>
          <w:p w14:paraId="5E1F0236" w14:textId="77777777" w:rsidR="00A70557" w:rsidRDefault="00A70557">
            <w:pPr>
              <w:tabs>
                <w:tab w:val="right" w:pos="9648"/>
              </w:tabs>
              <w:rPr>
                <w:color w:val="000000"/>
                <w:sz w:val="18"/>
              </w:rPr>
            </w:pPr>
            <w:r>
              <w:rPr>
                <w:color w:val="000000"/>
                <w:sz w:val="18"/>
              </w:rPr>
              <w:t>Hat die LiV präzise und verständlich formuliert?</w:t>
            </w:r>
          </w:p>
        </w:tc>
      </w:tr>
      <w:tr w:rsidR="00A70557" w14:paraId="68345357" w14:textId="77777777">
        <w:tc>
          <w:tcPr>
            <w:tcW w:w="354" w:type="dxa"/>
            <w:tcBorders>
              <w:top w:val="single" w:sz="4" w:space="0" w:color="000000"/>
              <w:left w:val="single" w:sz="4" w:space="0" w:color="000000"/>
              <w:bottom w:val="single" w:sz="4" w:space="0" w:color="000000"/>
            </w:tcBorders>
          </w:tcPr>
          <w:p w14:paraId="598B740F" w14:textId="77777777" w:rsidR="00A70557" w:rsidRDefault="00A70557">
            <w:pPr>
              <w:tabs>
                <w:tab w:val="right" w:pos="9648"/>
              </w:tabs>
              <w:snapToGrid w:val="0"/>
              <w:rPr>
                <w:color w:val="000000"/>
                <w:sz w:val="18"/>
              </w:rPr>
            </w:pPr>
          </w:p>
        </w:tc>
        <w:tc>
          <w:tcPr>
            <w:tcW w:w="10270" w:type="dxa"/>
            <w:tcBorders>
              <w:top w:val="single" w:sz="4" w:space="0" w:color="000000"/>
              <w:bottom w:val="single" w:sz="4" w:space="0" w:color="000000"/>
              <w:right w:val="single" w:sz="4" w:space="0" w:color="000000"/>
            </w:tcBorders>
          </w:tcPr>
          <w:p w14:paraId="55F0435B" w14:textId="77777777" w:rsidR="00A70557" w:rsidRDefault="00A70557">
            <w:pPr>
              <w:snapToGrid w:val="0"/>
              <w:ind w:left="170" w:hanging="170"/>
              <w:rPr>
                <w:b/>
                <w:color w:val="000000"/>
                <w:sz w:val="18"/>
              </w:rPr>
            </w:pPr>
            <w:r>
              <w:rPr>
                <w:rFonts w:ascii="Symbol" w:hAnsi="Symbol"/>
                <w:b/>
                <w:color w:val="000000"/>
                <w:sz w:val="18"/>
              </w:rPr>
              <w:t></w:t>
            </w:r>
            <w:r>
              <w:rPr>
                <w:b/>
                <w:color w:val="000000"/>
                <w:sz w:val="18"/>
              </w:rPr>
              <w:t> Unterrichtsorganisation: klarer Unterrichtsbeginn (Einstieg), Trennung der Unterrichtsphasen, Ergebnissicherung, funktionale Hausaufgaben, klares Unterrichtsende</w:t>
            </w:r>
          </w:p>
          <w:p w14:paraId="7D54E713" w14:textId="77777777" w:rsidR="00A70557" w:rsidRDefault="00A70557">
            <w:pPr>
              <w:ind w:left="170" w:hanging="170"/>
              <w:rPr>
                <w:b/>
                <w:color w:val="000000"/>
                <w:sz w:val="18"/>
              </w:rPr>
            </w:pPr>
            <w:r>
              <w:rPr>
                <w:rFonts w:ascii="Symbol" w:hAnsi="Symbol"/>
                <w:b/>
                <w:color w:val="000000"/>
                <w:sz w:val="18"/>
              </w:rPr>
              <w:t></w:t>
            </w:r>
            <w:r>
              <w:rPr>
                <w:b/>
                <w:color w:val="000000"/>
                <w:sz w:val="18"/>
              </w:rPr>
              <w:t> </w:t>
            </w:r>
            <w:r w:rsidRPr="005A1710">
              <w:rPr>
                <w:b/>
                <w:color w:val="000000"/>
                <w:sz w:val="18"/>
              </w:rPr>
              <w:t>kognitive Schüleraktivierung</w:t>
            </w:r>
            <w:r>
              <w:rPr>
                <w:b/>
                <w:color w:val="000000"/>
                <w:sz w:val="18"/>
              </w:rPr>
              <w:t xml:space="preserve"> </w:t>
            </w:r>
            <w:r w:rsidR="005A1710">
              <w:rPr>
                <w:b/>
                <w:color w:val="000000"/>
                <w:sz w:val="18"/>
              </w:rPr>
              <w:t xml:space="preserve">durch </w:t>
            </w:r>
            <w:r w:rsidR="00E95F68">
              <w:rPr>
                <w:b/>
                <w:color w:val="000000"/>
                <w:sz w:val="18"/>
              </w:rPr>
              <w:t>Lernarrangements, die Eigenaktivität oder Kooperation herausfordern</w:t>
            </w:r>
          </w:p>
          <w:p w14:paraId="3D31CF1F" w14:textId="77777777" w:rsidR="00A70557" w:rsidRDefault="00A70557">
            <w:pPr>
              <w:ind w:left="170" w:hanging="170"/>
              <w:rPr>
                <w:b/>
                <w:color w:val="000000"/>
                <w:sz w:val="18"/>
              </w:rPr>
            </w:pPr>
            <w:r>
              <w:rPr>
                <w:rFonts w:ascii="Symbol" w:hAnsi="Symbol"/>
                <w:b/>
                <w:color w:val="000000"/>
                <w:sz w:val="18"/>
              </w:rPr>
              <w:t></w:t>
            </w:r>
            <w:r>
              <w:rPr>
                <w:b/>
                <w:color w:val="000000"/>
                <w:sz w:val="18"/>
              </w:rPr>
              <w:t> Förderung der Selbstständigkeit der Schülerinnen und Schüler</w:t>
            </w:r>
          </w:p>
          <w:p w14:paraId="3AE39E9F" w14:textId="77777777" w:rsidR="00A70557" w:rsidRDefault="00A70557">
            <w:pPr>
              <w:ind w:left="170" w:hanging="170"/>
              <w:rPr>
                <w:b/>
                <w:color w:val="000000"/>
                <w:sz w:val="18"/>
              </w:rPr>
            </w:pPr>
            <w:r>
              <w:rPr>
                <w:rFonts w:ascii="Symbol" w:hAnsi="Symbol"/>
                <w:b/>
                <w:color w:val="000000"/>
                <w:sz w:val="18"/>
              </w:rPr>
              <w:t></w:t>
            </w:r>
            <w:r>
              <w:rPr>
                <w:b/>
                <w:color w:val="000000"/>
                <w:sz w:val="18"/>
              </w:rPr>
              <w:t> Individualisierung und Differenzierung der Lernhilfen und Lernaufgaben</w:t>
            </w:r>
          </w:p>
          <w:p w14:paraId="494902BE"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Förderung der Sprachbildung</w:t>
            </w:r>
          </w:p>
          <w:p w14:paraId="10FB09B8" w14:textId="77777777" w:rsidR="00E95F68" w:rsidRDefault="00A70557">
            <w:pPr>
              <w:ind w:left="170" w:hanging="170"/>
              <w:rPr>
                <w:b/>
                <w:color w:val="000000"/>
                <w:sz w:val="18"/>
              </w:rPr>
            </w:pPr>
            <w:r>
              <w:rPr>
                <w:rFonts w:ascii="Symbol" w:hAnsi="Symbol"/>
                <w:b/>
                <w:color w:val="000000"/>
                <w:sz w:val="18"/>
              </w:rPr>
              <w:t></w:t>
            </w:r>
            <w:r>
              <w:rPr>
                <w:b/>
                <w:color w:val="000000"/>
                <w:sz w:val="18"/>
              </w:rPr>
              <w:t> angemessenes Unterrichtstempo, Kommunikations</w:t>
            </w:r>
            <w:r>
              <w:rPr>
                <w:b/>
                <w:color w:val="000000"/>
                <w:sz w:val="18"/>
              </w:rPr>
              <w:noBreakHyphen/>
              <w:t xml:space="preserve"> und Inhaltsorientierung</w:t>
            </w:r>
          </w:p>
          <w:p w14:paraId="09B09164" w14:textId="77777777" w:rsidR="00A70557" w:rsidRDefault="00E95F68">
            <w:pPr>
              <w:ind w:left="170" w:hanging="170"/>
              <w:rPr>
                <w:b/>
                <w:color w:val="000000"/>
                <w:sz w:val="18"/>
              </w:rPr>
            </w:pPr>
            <w:r>
              <w:rPr>
                <w:rFonts w:ascii="Symbol" w:hAnsi="Symbol"/>
                <w:b/>
                <w:color w:val="000000"/>
                <w:sz w:val="18"/>
              </w:rPr>
              <w:t></w:t>
            </w:r>
            <w:r>
              <w:rPr>
                <w:b/>
                <w:color w:val="000000"/>
                <w:sz w:val="18"/>
              </w:rPr>
              <w:t> effektive Zeitnutzung</w:t>
            </w:r>
          </w:p>
          <w:p w14:paraId="55C66FFC" w14:textId="77777777" w:rsidR="00A70557" w:rsidRDefault="00A70557">
            <w:pPr>
              <w:ind w:left="170" w:hanging="170"/>
              <w:rPr>
                <w:b/>
                <w:color w:val="000000"/>
                <w:sz w:val="18"/>
              </w:rPr>
            </w:pPr>
            <w:r>
              <w:rPr>
                <w:rFonts w:ascii="Symbol" w:hAnsi="Symbol"/>
                <w:b/>
                <w:color w:val="000000"/>
                <w:sz w:val="18"/>
              </w:rPr>
              <w:t></w:t>
            </w:r>
            <w:r>
              <w:rPr>
                <w:b/>
                <w:color w:val="000000"/>
                <w:sz w:val="18"/>
              </w:rPr>
              <w:t> angemessene, abwechslungsreiche Wahl der Methoden und Sozialformen</w:t>
            </w:r>
          </w:p>
          <w:p w14:paraId="38C2FB67" w14:textId="366181A6" w:rsidR="00A70557" w:rsidRDefault="00A70557">
            <w:pPr>
              <w:ind w:left="170" w:hanging="170"/>
              <w:rPr>
                <w:b/>
                <w:color w:val="000000"/>
                <w:sz w:val="18"/>
              </w:rPr>
            </w:pPr>
            <w:r>
              <w:rPr>
                <w:rFonts w:ascii="Symbol" w:hAnsi="Symbol"/>
                <w:b/>
                <w:color w:val="000000"/>
                <w:sz w:val="18"/>
              </w:rPr>
              <w:t></w:t>
            </w:r>
            <w:r>
              <w:rPr>
                <w:b/>
                <w:color w:val="000000"/>
                <w:sz w:val="18"/>
              </w:rPr>
              <w:t xml:space="preserve"> Funktionalität und </w:t>
            </w:r>
            <w:r w:rsidR="00ED7926">
              <w:rPr>
                <w:b/>
                <w:color w:val="000000"/>
                <w:sz w:val="18"/>
              </w:rPr>
              <w:t>souveräner Umgang mit Visualisierungsmedien</w:t>
            </w:r>
            <w:r>
              <w:rPr>
                <w:b/>
                <w:color w:val="000000"/>
                <w:sz w:val="18"/>
              </w:rPr>
              <w:t xml:space="preserve"> (wie Tafel, Arbeitsblätter, Computer</w:t>
            </w:r>
            <w:r w:rsidR="00167982">
              <w:rPr>
                <w:b/>
                <w:color w:val="000000"/>
                <w:sz w:val="18"/>
              </w:rPr>
              <w:t xml:space="preserve">) sowie </w:t>
            </w:r>
            <w:proofErr w:type="spellStart"/>
            <w:r>
              <w:rPr>
                <w:b/>
                <w:color w:val="000000"/>
                <w:sz w:val="18"/>
              </w:rPr>
              <w:t>Fertigkeits</w:t>
            </w:r>
            <w:proofErr w:type="spellEnd"/>
            <w:r>
              <w:rPr>
                <w:b/>
                <w:color w:val="000000"/>
                <w:sz w:val="18"/>
              </w:rPr>
              <w:noBreakHyphen/>
              <w:t xml:space="preserve"> und Kompetenzschulung</w:t>
            </w:r>
          </w:p>
          <w:p w14:paraId="2B3364A1" w14:textId="77777777" w:rsidR="00A70557" w:rsidRDefault="00A70557">
            <w:pPr>
              <w:ind w:left="170" w:hanging="170"/>
              <w:rPr>
                <w:b/>
                <w:color w:val="000000"/>
                <w:sz w:val="18"/>
              </w:rPr>
            </w:pPr>
            <w:r>
              <w:rPr>
                <w:rFonts w:ascii="Symbol" w:hAnsi="Symbol"/>
                <w:b/>
                <w:color w:val="000000"/>
                <w:sz w:val="18"/>
              </w:rPr>
              <w:t></w:t>
            </w:r>
            <w:r>
              <w:rPr>
                <w:b/>
                <w:color w:val="000000"/>
                <w:sz w:val="18"/>
              </w:rPr>
              <w:t> Intensivierung und Ergebnisorientierung des Lernens</w:t>
            </w:r>
          </w:p>
          <w:p w14:paraId="6DA82F88" w14:textId="6F4E0659" w:rsidR="00A70557" w:rsidRDefault="00A70557">
            <w:pPr>
              <w:tabs>
                <w:tab w:val="right" w:pos="9648"/>
              </w:tabs>
              <w:rPr>
                <w:b/>
                <w:color w:val="000000"/>
                <w:sz w:val="18"/>
              </w:rPr>
            </w:pPr>
            <w:r>
              <w:rPr>
                <w:rFonts w:ascii="Symbol" w:hAnsi="Symbol"/>
                <w:b/>
                <w:color w:val="000000"/>
                <w:sz w:val="18"/>
              </w:rPr>
              <w:t></w:t>
            </w:r>
            <w:r>
              <w:rPr>
                <w:b/>
                <w:color w:val="000000"/>
                <w:sz w:val="18"/>
              </w:rPr>
              <w:t> angemessene Korrektur</w:t>
            </w:r>
            <w:r>
              <w:rPr>
                <w:b/>
                <w:color w:val="000000"/>
                <w:sz w:val="18"/>
              </w:rPr>
              <w:noBreakHyphen/>
              <w:t xml:space="preserve"> und Rückmeldever</w:t>
            </w:r>
            <w:r w:rsidR="00ED7926">
              <w:rPr>
                <w:b/>
                <w:color w:val="000000"/>
                <w:sz w:val="18"/>
              </w:rPr>
              <w:t>fahren</w:t>
            </w:r>
          </w:p>
        </w:tc>
      </w:tr>
    </w:tbl>
    <w:p w14:paraId="3A6E0FD7" w14:textId="77777777" w:rsidR="00A70557" w:rsidRDefault="00A70557">
      <w:pPr>
        <w:tabs>
          <w:tab w:val="right" w:pos="9648"/>
        </w:tabs>
        <w:rPr>
          <w:color w:val="000000"/>
          <w:sz w:val="18"/>
        </w:rPr>
      </w:pPr>
    </w:p>
    <w:tbl>
      <w:tblPr>
        <w:tblW w:w="0" w:type="auto"/>
        <w:tblInd w:w="-7" w:type="dxa"/>
        <w:tblLayout w:type="fixed"/>
        <w:tblCellMar>
          <w:left w:w="70" w:type="dxa"/>
          <w:right w:w="70" w:type="dxa"/>
        </w:tblCellMar>
        <w:tblLook w:val="0000" w:firstRow="0" w:lastRow="0" w:firstColumn="0" w:lastColumn="0" w:noHBand="0" w:noVBand="0"/>
      </w:tblPr>
      <w:tblGrid>
        <w:gridCol w:w="354"/>
        <w:gridCol w:w="10270"/>
      </w:tblGrid>
      <w:tr w:rsidR="00A70557" w14:paraId="2D2629CF" w14:textId="77777777">
        <w:tc>
          <w:tcPr>
            <w:tcW w:w="354" w:type="dxa"/>
            <w:tcBorders>
              <w:top w:val="single" w:sz="4" w:space="0" w:color="000000"/>
              <w:left w:val="single" w:sz="4" w:space="0" w:color="000000"/>
              <w:bottom w:val="single" w:sz="4" w:space="0" w:color="000000"/>
            </w:tcBorders>
          </w:tcPr>
          <w:p w14:paraId="2B627FC7" w14:textId="77777777" w:rsidR="00A70557" w:rsidRDefault="00A70557">
            <w:pPr>
              <w:tabs>
                <w:tab w:val="right" w:pos="9648"/>
              </w:tabs>
              <w:snapToGrid w:val="0"/>
              <w:rPr>
                <w:color w:val="000000"/>
                <w:sz w:val="18"/>
              </w:rPr>
            </w:pPr>
            <w:r>
              <w:rPr>
                <w:color w:val="000000"/>
                <w:sz w:val="18"/>
              </w:rPr>
              <w:t>4.</w:t>
            </w:r>
          </w:p>
        </w:tc>
        <w:tc>
          <w:tcPr>
            <w:tcW w:w="10270" w:type="dxa"/>
            <w:tcBorders>
              <w:top w:val="single" w:sz="4" w:space="0" w:color="000000"/>
              <w:left w:val="single" w:sz="4" w:space="0" w:color="000000"/>
              <w:bottom w:val="single" w:sz="4" w:space="0" w:color="000000"/>
              <w:right w:val="single" w:sz="4" w:space="0" w:color="000000"/>
            </w:tcBorders>
            <w:shd w:val="clear" w:color="auto" w:fill="C0C0C0"/>
          </w:tcPr>
          <w:p w14:paraId="7CCCB282" w14:textId="77777777" w:rsidR="00A70557" w:rsidRDefault="00A70557">
            <w:pPr>
              <w:tabs>
                <w:tab w:val="right" w:pos="9648"/>
              </w:tabs>
              <w:snapToGrid w:val="0"/>
              <w:rPr>
                <w:color w:val="000000"/>
                <w:sz w:val="18"/>
              </w:rPr>
            </w:pPr>
            <w:r>
              <w:rPr>
                <w:color w:val="000000"/>
                <w:sz w:val="18"/>
              </w:rPr>
              <w:t>Diagnostische Kompetenz</w:t>
            </w:r>
          </w:p>
          <w:p w14:paraId="53E90E6D" w14:textId="77777777" w:rsidR="00A70557" w:rsidRDefault="00A70557">
            <w:pPr>
              <w:tabs>
                <w:tab w:val="right" w:pos="9648"/>
              </w:tabs>
              <w:rPr>
                <w:color w:val="000000"/>
                <w:sz w:val="18"/>
              </w:rPr>
            </w:pPr>
          </w:p>
          <w:p w14:paraId="2EDB4656" w14:textId="77777777" w:rsidR="00A70557" w:rsidRDefault="00A70557">
            <w:pPr>
              <w:tabs>
                <w:tab w:val="right" w:pos="9648"/>
              </w:tabs>
              <w:rPr>
                <w:color w:val="000000"/>
                <w:sz w:val="18"/>
              </w:rPr>
            </w:pPr>
            <w:r>
              <w:rPr>
                <w:color w:val="000000"/>
                <w:sz w:val="18"/>
              </w:rPr>
              <w:t>Hat die LiV die unterschiedlichen Voraussetzungen und Kompetenzen der Lernenden berücksichtigt?</w:t>
            </w:r>
          </w:p>
        </w:tc>
      </w:tr>
      <w:tr w:rsidR="00A70557" w14:paraId="6E875211" w14:textId="77777777">
        <w:tc>
          <w:tcPr>
            <w:tcW w:w="354" w:type="dxa"/>
            <w:tcBorders>
              <w:top w:val="single" w:sz="4" w:space="0" w:color="000000"/>
              <w:left w:val="single" w:sz="4" w:space="0" w:color="000000"/>
              <w:bottom w:val="single" w:sz="4" w:space="0" w:color="000000"/>
            </w:tcBorders>
          </w:tcPr>
          <w:p w14:paraId="2C1EB880" w14:textId="77777777" w:rsidR="00A70557" w:rsidRDefault="00A70557">
            <w:pPr>
              <w:tabs>
                <w:tab w:val="right" w:pos="9648"/>
              </w:tabs>
              <w:snapToGrid w:val="0"/>
              <w:rPr>
                <w:color w:val="000000"/>
                <w:sz w:val="18"/>
              </w:rPr>
            </w:pPr>
          </w:p>
        </w:tc>
        <w:tc>
          <w:tcPr>
            <w:tcW w:w="10270" w:type="dxa"/>
            <w:tcBorders>
              <w:top w:val="single" w:sz="4" w:space="0" w:color="000000"/>
              <w:bottom w:val="single" w:sz="4" w:space="0" w:color="000000"/>
              <w:right w:val="single" w:sz="4" w:space="0" w:color="000000"/>
            </w:tcBorders>
          </w:tcPr>
          <w:p w14:paraId="3198D939" w14:textId="77777777" w:rsidR="00A70557" w:rsidRDefault="00A70557">
            <w:pPr>
              <w:tabs>
                <w:tab w:val="right" w:pos="9648"/>
              </w:tabs>
              <w:snapToGrid w:val="0"/>
              <w:ind w:left="170" w:hanging="170"/>
              <w:rPr>
                <w:b/>
                <w:color w:val="000000"/>
                <w:sz w:val="18"/>
              </w:rPr>
            </w:pPr>
            <w:r>
              <w:rPr>
                <w:rFonts w:ascii="Symbol" w:hAnsi="Symbol"/>
                <w:b/>
                <w:color w:val="000000"/>
                <w:sz w:val="18"/>
              </w:rPr>
              <w:t></w:t>
            </w:r>
            <w:r>
              <w:rPr>
                <w:b/>
                <w:color w:val="000000"/>
                <w:sz w:val="18"/>
              </w:rPr>
              <w:t> Erkennen und Berücksichtigen der Lernvoraussetzungen einer Gruppe und einzelner Schülerinnen und Schüler</w:t>
            </w:r>
          </w:p>
          <w:p w14:paraId="4C44A092" w14:textId="53B2C056" w:rsidR="00E95F68" w:rsidRDefault="00A70557" w:rsidP="00241A55">
            <w:pPr>
              <w:tabs>
                <w:tab w:val="right" w:pos="9648"/>
              </w:tabs>
              <w:ind w:left="170" w:hanging="170"/>
              <w:rPr>
                <w:b/>
                <w:color w:val="000000"/>
                <w:sz w:val="18"/>
              </w:rPr>
            </w:pPr>
            <w:r>
              <w:rPr>
                <w:rFonts w:ascii="Symbol" w:hAnsi="Symbol"/>
                <w:b/>
                <w:color w:val="000000"/>
                <w:sz w:val="18"/>
              </w:rPr>
              <w:t></w:t>
            </w:r>
            <w:r>
              <w:rPr>
                <w:b/>
                <w:color w:val="000000"/>
                <w:sz w:val="18"/>
              </w:rPr>
              <w:t xml:space="preserve"> Erkennen von Fehlvorstellungen, produktiver Umgang mit Fehlern </w:t>
            </w:r>
          </w:p>
          <w:p w14:paraId="7FD0D208"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Kriterienorientierte, transparente Leistungsbewertung</w:t>
            </w:r>
          </w:p>
          <w:p w14:paraId="09168AAD" w14:textId="7F5C16FC"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w:t>
            </w:r>
            <w:r w:rsidR="00ED7926">
              <w:rPr>
                <w:b/>
                <w:color w:val="000000"/>
                <w:sz w:val="18"/>
              </w:rPr>
              <w:t>angemessenes Korrektur- und Rückmeldeverhalten (</w:t>
            </w:r>
            <w:r>
              <w:rPr>
                <w:b/>
                <w:color w:val="000000"/>
                <w:sz w:val="18"/>
              </w:rPr>
              <w:t>Loben, anerkennen, ermutigen</w:t>
            </w:r>
            <w:r w:rsidR="00ED7926">
              <w:rPr>
                <w:b/>
                <w:color w:val="000000"/>
                <w:sz w:val="18"/>
              </w:rPr>
              <w:t>, konstruktiv unterstützen)</w:t>
            </w:r>
          </w:p>
          <w:p w14:paraId="40D2B570" w14:textId="77777777" w:rsidR="00A70557" w:rsidRDefault="00A70557">
            <w:pPr>
              <w:tabs>
                <w:tab w:val="right" w:pos="9648"/>
              </w:tabs>
              <w:rPr>
                <w:b/>
                <w:color w:val="000000"/>
                <w:sz w:val="18"/>
              </w:rPr>
            </w:pPr>
            <w:r>
              <w:rPr>
                <w:rFonts w:ascii="Symbol" w:hAnsi="Symbol"/>
                <w:b/>
                <w:color w:val="000000"/>
                <w:sz w:val="18"/>
              </w:rPr>
              <w:t></w:t>
            </w:r>
            <w:r>
              <w:rPr>
                <w:b/>
                <w:color w:val="000000"/>
                <w:sz w:val="18"/>
              </w:rPr>
              <w:t> Anleitung zur ehrlichen Selbsteinschätzung und Fremdeinschätzung</w:t>
            </w:r>
          </w:p>
        </w:tc>
      </w:tr>
    </w:tbl>
    <w:p w14:paraId="586441D9" w14:textId="77777777" w:rsidR="00A70557" w:rsidRDefault="00A70557">
      <w:pPr>
        <w:tabs>
          <w:tab w:val="right" w:pos="9648"/>
        </w:tabs>
        <w:rPr>
          <w:color w:val="000000"/>
          <w:sz w:val="18"/>
        </w:rPr>
      </w:pPr>
    </w:p>
    <w:tbl>
      <w:tblPr>
        <w:tblW w:w="0" w:type="auto"/>
        <w:tblInd w:w="-7" w:type="dxa"/>
        <w:tblLayout w:type="fixed"/>
        <w:tblCellMar>
          <w:left w:w="70" w:type="dxa"/>
          <w:right w:w="70" w:type="dxa"/>
        </w:tblCellMar>
        <w:tblLook w:val="0000" w:firstRow="0" w:lastRow="0" w:firstColumn="0" w:lastColumn="0" w:noHBand="0" w:noVBand="0"/>
      </w:tblPr>
      <w:tblGrid>
        <w:gridCol w:w="354"/>
        <w:gridCol w:w="10270"/>
      </w:tblGrid>
      <w:tr w:rsidR="00A70557" w14:paraId="0C63E04F" w14:textId="77777777">
        <w:tc>
          <w:tcPr>
            <w:tcW w:w="354" w:type="dxa"/>
            <w:tcBorders>
              <w:top w:val="single" w:sz="4" w:space="0" w:color="000000"/>
              <w:left w:val="single" w:sz="4" w:space="0" w:color="000000"/>
              <w:bottom w:val="single" w:sz="4" w:space="0" w:color="000000"/>
            </w:tcBorders>
          </w:tcPr>
          <w:p w14:paraId="193EFC6C" w14:textId="77777777" w:rsidR="00A70557" w:rsidRDefault="00A70557">
            <w:pPr>
              <w:tabs>
                <w:tab w:val="right" w:pos="9648"/>
              </w:tabs>
              <w:snapToGrid w:val="0"/>
              <w:rPr>
                <w:color w:val="000000"/>
                <w:sz w:val="18"/>
              </w:rPr>
            </w:pPr>
            <w:r>
              <w:rPr>
                <w:color w:val="000000"/>
                <w:sz w:val="18"/>
              </w:rPr>
              <w:t>5.</w:t>
            </w:r>
          </w:p>
        </w:tc>
        <w:tc>
          <w:tcPr>
            <w:tcW w:w="10270" w:type="dxa"/>
            <w:tcBorders>
              <w:top w:val="single" w:sz="4" w:space="0" w:color="000000"/>
              <w:left w:val="single" w:sz="4" w:space="0" w:color="000000"/>
              <w:bottom w:val="single" w:sz="4" w:space="0" w:color="000000"/>
              <w:right w:val="single" w:sz="4" w:space="0" w:color="000000"/>
            </w:tcBorders>
            <w:shd w:val="clear" w:color="auto" w:fill="C0C0C0"/>
          </w:tcPr>
          <w:p w14:paraId="206685DD" w14:textId="77777777" w:rsidR="00A70557" w:rsidRDefault="00A70557">
            <w:pPr>
              <w:tabs>
                <w:tab w:val="right" w:pos="9648"/>
              </w:tabs>
              <w:snapToGrid w:val="0"/>
              <w:rPr>
                <w:color w:val="000000"/>
                <w:sz w:val="18"/>
              </w:rPr>
            </w:pPr>
            <w:r>
              <w:rPr>
                <w:color w:val="000000"/>
                <w:sz w:val="18"/>
              </w:rPr>
              <w:t>Leitungskompetenz</w:t>
            </w:r>
          </w:p>
          <w:p w14:paraId="182A45D5" w14:textId="77777777" w:rsidR="00A70557" w:rsidRDefault="00A70557">
            <w:pPr>
              <w:tabs>
                <w:tab w:val="right" w:pos="9648"/>
              </w:tabs>
              <w:rPr>
                <w:color w:val="000000"/>
                <w:sz w:val="18"/>
              </w:rPr>
            </w:pPr>
          </w:p>
          <w:p w14:paraId="28C5A7FD" w14:textId="77777777" w:rsidR="00A70557" w:rsidRDefault="00A70557">
            <w:pPr>
              <w:tabs>
                <w:tab w:val="right" w:pos="9648"/>
              </w:tabs>
              <w:rPr>
                <w:color w:val="000000"/>
                <w:sz w:val="18"/>
              </w:rPr>
            </w:pPr>
            <w:r>
              <w:rPr>
                <w:color w:val="000000"/>
                <w:sz w:val="18"/>
              </w:rPr>
              <w:t>Ist die LiV überzeugend und als Vorbild aufgetreten?</w:t>
            </w:r>
          </w:p>
          <w:p w14:paraId="41CA63CF" w14:textId="77777777" w:rsidR="00A70557" w:rsidRDefault="00A70557">
            <w:pPr>
              <w:tabs>
                <w:tab w:val="right" w:pos="9648"/>
              </w:tabs>
              <w:rPr>
                <w:color w:val="000000"/>
                <w:sz w:val="18"/>
              </w:rPr>
            </w:pPr>
            <w:r>
              <w:rPr>
                <w:color w:val="000000"/>
                <w:sz w:val="18"/>
              </w:rPr>
              <w:t>Ist die LiV mit den Lernenden respektvoll und wertschätzend umgegangen?</w:t>
            </w:r>
          </w:p>
        </w:tc>
      </w:tr>
      <w:tr w:rsidR="00A70557" w14:paraId="1CABB500" w14:textId="77777777">
        <w:tc>
          <w:tcPr>
            <w:tcW w:w="354" w:type="dxa"/>
            <w:tcBorders>
              <w:top w:val="single" w:sz="4" w:space="0" w:color="000000"/>
              <w:left w:val="single" w:sz="4" w:space="0" w:color="000000"/>
              <w:bottom w:val="single" w:sz="4" w:space="0" w:color="000000"/>
            </w:tcBorders>
          </w:tcPr>
          <w:p w14:paraId="6EA0DD96" w14:textId="77777777" w:rsidR="00A70557" w:rsidRDefault="00A70557">
            <w:pPr>
              <w:tabs>
                <w:tab w:val="right" w:pos="9648"/>
              </w:tabs>
              <w:snapToGrid w:val="0"/>
              <w:rPr>
                <w:color w:val="000000"/>
                <w:sz w:val="18"/>
              </w:rPr>
            </w:pPr>
          </w:p>
        </w:tc>
        <w:tc>
          <w:tcPr>
            <w:tcW w:w="10270" w:type="dxa"/>
            <w:tcBorders>
              <w:top w:val="single" w:sz="4" w:space="0" w:color="000000"/>
              <w:bottom w:val="single" w:sz="4" w:space="0" w:color="000000"/>
              <w:right w:val="single" w:sz="4" w:space="0" w:color="000000"/>
            </w:tcBorders>
          </w:tcPr>
          <w:p w14:paraId="2C61A7BF" w14:textId="77777777" w:rsidR="00A70557" w:rsidRDefault="00A70557">
            <w:pPr>
              <w:tabs>
                <w:tab w:val="right" w:pos="9648"/>
              </w:tabs>
              <w:snapToGrid w:val="0"/>
              <w:ind w:left="170" w:hanging="170"/>
              <w:rPr>
                <w:b/>
                <w:color w:val="000000"/>
                <w:sz w:val="18"/>
              </w:rPr>
            </w:pPr>
            <w:r>
              <w:rPr>
                <w:rFonts w:ascii="Symbol" w:hAnsi="Symbol"/>
                <w:b/>
                <w:color w:val="000000"/>
                <w:sz w:val="18"/>
              </w:rPr>
              <w:t></w:t>
            </w:r>
            <w:r>
              <w:rPr>
                <w:b/>
                <w:color w:val="000000"/>
                <w:sz w:val="18"/>
              </w:rPr>
              <w:t> Transparenz der Ziele, Vorgehensweisen und Regeln</w:t>
            </w:r>
          </w:p>
          <w:p w14:paraId="396D25BA" w14:textId="2A87F4DA"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Integration aller</w:t>
            </w:r>
            <w:r w:rsidR="00ED7926">
              <w:t xml:space="preserve"> </w:t>
            </w:r>
            <w:r w:rsidR="00ED7926" w:rsidRPr="00ED7926">
              <w:rPr>
                <w:b/>
                <w:bCs/>
                <w:sz w:val="18"/>
                <w:szCs w:val="18"/>
              </w:rPr>
              <w:t>Schülerinnen und</w:t>
            </w:r>
            <w:r>
              <w:rPr>
                <w:b/>
                <w:color w:val="000000"/>
                <w:sz w:val="18"/>
              </w:rPr>
              <w:t xml:space="preserve"> Schüler in den Unterrichtsprozess</w:t>
            </w:r>
          </w:p>
          <w:p w14:paraId="2B4D1428" w14:textId="056B7BC8"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Vertrauens</w:t>
            </w:r>
            <w:r w:rsidR="00ED7926">
              <w:rPr>
                <w:b/>
                <w:color w:val="000000"/>
                <w:sz w:val="18"/>
              </w:rPr>
              <w:t>s</w:t>
            </w:r>
            <w:r>
              <w:rPr>
                <w:b/>
                <w:color w:val="000000"/>
                <w:sz w:val="18"/>
              </w:rPr>
              <w:t>tiftendes Kommunikationsverhalten</w:t>
            </w:r>
            <w:r w:rsidR="00ED7926">
              <w:rPr>
                <w:b/>
                <w:color w:val="000000"/>
                <w:sz w:val="18"/>
              </w:rPr>
              <w:t xml:space="preserve"> durch K</w:t>
            </w:r>
            <w:r>
              <w:rPr>
                <w:b/>
                <w:color w:val="000000"/>
                <w:sz w:val="18"/>
              </w:rPr>
              <w:t>örpersprache, Fragetechnik, Sprache, Arbeitsaufträge</w:t>
            </w:r>
          </w:p>
          <w:p w14:paraId="470B163A" w14:textId="4043557D"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Durchsetzung von Ordnungsvorstellungen, sozialen Werten und Leistungsansprüchen (</w:t>
            </w:r>
            <w:r w:rsidR="00167982">
              <w:rPr>
                <w:b/>
                <w:color w:val="000000"/>
                <w:sz w:val="18"/>
              </w:rPr>
              <w:t xml:space="preserve">auch </w:t>
            </w:r>
            <w:r>
              <w:rPr>
                <w:b/>
                <w:color w:val="000000"/>
                <w:sz w:val="18"/>
              </w:rPr>
              <w:t>Konfliktbereitschaft)</w:t>
            </w:r>
          </w:p>
          <w:p w14:paraId="0F6084CB"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Zeitmanagement</w:t>
            </w:r>
          </w:p>
          <w:p w14:paraId="04D30B6F" w14:textId="77777777" w:rsidR="00A70557" w:rsidRDefault="00A70557">
            <w:pPr>
              <w:tabs>
                <w:tab w:val="right" w:pos="9648"/>
              </w:tabs>
              <w:ind w:left="170" w:hanging="170"/>
              <w:rPr>
                <w:b/>
                <w:color w:val="000000"/>
                <w:sz w:val="18"/>
              </w:rPr>
            </w:pPr>
            <w:r>
              <w:rPr>
                <w:rFonts w:ascii="Symbol" w:hAnsi="Symbol"/>
                <w:b/>
                <w:color w:val="000000"/>
                <w:sz w:val="18"/>
              </w:rPr>
              <w:t></w:t>
            </w:r>
            <w:r>
              <w:rPr>
                <w:b/>
                <w:color w:val="000000"/>
                <w:sz w:val="18"/>
              </w:rPr>
              <w:t> professionelle</w:t>
            </w:r>
            <w:r w:rsidR="00297DFC">
              <w:rPr>
                <w:b/>
                <w:color w:val="000000"/>
                <w:sz w:val="18"/>
              </w:rPr>
              <w:t xml:space="preserve"> </w:t>
            </w:r>
            <w:r>
              <w:rPr>
                <w:b/>
                <w:color w:val="000000"/>
                <w:sz w:val="18"/>
              </w:rPr>
              <w:t>"Haltung": Freude und Interesse am Fach, Kontakt, Offenheit, positive Grundstimmung</w:t>
            </w:r>
          </w:p>
          <w:p w14:paraId="2F6A50D5" w14:textId="77777777" w:rsidR="00A70557" w:rsidRDefault="00A70557">
            <w:pPr>
              <w:tabs>
                <w:tab w:val="right" w:pos="9648"/>
              </w:tabs>
              <w:rPr>
                <w:b/>
                <w:color w:val="000000"/>
                <w:sz w:val="18"/>
              </w:rPr>
            </w:pPr>
            <w:r>
              <w:rPr>
                <w:rFonts w:ascii="Symbol" w:hAnsi="Symbol"/>
                <w:b/>
                <w:color w:val="000000"/>
                <w:sz w:val="18"/>
              </w:rPr>
              <w:t></w:t>
            </w:r>
            <w:r>
              <w:rPr>
                <w:b/>
                <w:color w:val="000000"/>
                <w:sz w:val="18"/>
              </w:rPr>
              <w:t> Kritik</w:t>
            </w:r>
            <w:r>
              <w:rPr>
                <w:b/>
                <w:color w:val="000000"/>
                <w:sz w:val="18"/>
              </w:rPr>
              <w:noBreakHyphen/>
              <w:t xml:space="preserve"> und Beratungsfähigkeit</w:t>
            </w:r>
          </w:p>
        </w:tc>
      </w:tr>
    </w:tbl>
    <w:p w14:paraId="024B8EA1" w14:textId="77777777" w:rsidR="00A70557" w:rsidRDefault="00A70557">
      <w:pPr>
        <w:tabs>
          <w:tab w:val="right" w:pos="9648"/>
        </w:tabs>
        <w:rPr>
          <w:color w:val="000000"/>
          <w:sz w:val="18"/>
        </w:rPr>
      </w:pPr>
    </w:p>
    <w:p w14:paraId="27AB70DC" w14:textId="07786181" w:rsidR="00A70557" w:rsidRDefault="00A70557">
      <w:pPr>
        <w:tabs>
          <w:tab w:val="right" w:pos="9648"/>
        </w:tabs>
        <w:rPr>
          <w:color w:val="000000"/>
          <w:sz w:val="18"/>
        </w:rPr>
      </w:pPr>
      <w:proofErr w:type="gramStart"/>
      <w:r>
        <w:rPr>
          <w:color w:val="000000"/>
          <w:sz w:val="18"/>
        </w:rPr>
        <w:t>Stand</w:t>
      </w:r>
      <w:proofErr w:type="gramEnd"/>
      <w:r>
        <w:rPr>
          <w:color w:val="000000"/>
          <w:sz w:val="18"/>
        </w:rPr>
        <w:t xml:space="preserve"> </w:t>
      </w:r>
      <w:r>
        <w:rPr>
          <w:rFonts w:cs="Arial"/>
          <w:sz w:val="18"/>
          <w:szCs w:val="18"/>
        </w:rPr>
        <w:t>April 20</w:t>
      </w:r>
      <w:r w:rsidR="00297DFC">
        <w:rPr>
          <w:rFonts w:cs="Arial"/>
          <w:sz w:val="18"/>
          <w:szCs w:val="18"/>
        </w:rPr>
        <w:t>20</w:t>
      </w:r>
    </w:p>
    <w:sectPr w:rsidR="00A70557">
      <w:footnotePr>
        <w:pos w:val="beneathText"/>
      </w:footnotePr>
      <w:pgSz w:w="11906" w:h="16838"/>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C8907" w14:textId="77777777" w:rsidR="008011AB" w:rsidRDefault="008011AB" w:rsidP="00110D2A">
      <w:r>
        <w:separator/>
      </w:r>
    </w:p>
  </w:endnote>
  <w:endnote w:type="continuationSeparator" w:id="0">
    <w:p w14:paraId="25D79D1D" w14:textId="77777777" w:rsidR="008011AB" w:rsidRDefault="008011AB" w:rsidP="0011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07F0E" w14:textId="77777777" w:rsidR="008011AB" w:rsidRDefault="008011AB" w:rsidP="00110D2A">
      <w:r>
        <w:separator/>
      </w:r>
    </w:p>
  </w:footnote>
  <w:footnote w:type="continuationSeparator" w:id="0">
    <w:p w14:paraId="0D7E8F08" w14:textId="77777777" w:rsidR="008011AB" w:rsidRDefault="008011AB" w:rsidP="00110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pStyle w:val="berschrift7"/>
      <w:suff w:val="nothing"/>
      <w:lvlText w:val=""/>
      <w:lvlJc w:val="left"/>
      <w:pPr>
        <w:tabs>
          <w:tab w:val="num" w:pos="1296"/>
        </w:tabs>
        <w:ind w:left="1296" w:hanging="1296"/>
      </w:pPr>
    </w:lvl>
    <w:lvl w:ilvl="7">
      <w:start w:val="1"/>
      <w:numFmt w:val="none"/>
      <w:pStyle w:val="berschrift8"/>
      <w:suff w:val="nothing"/>
      <w:lvlText w:val=""/>
      <w:lvlJc w:val="left"/>
      <w:pPr>
        <w:tabs>
          <w:tab w:val="num" w:pos="1440"/>
        </w:tabs>
        <w:ind w:left="1440" w:hanging="1440"/>
      </w:pPr>
    </w:lvl>
    <w:lvl w:ilvl="8">
      <w:start w:val="1"/>
      <w:numFmt w:val="none"/>
      <w:pStyle w:val="berschrift9"/>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usePrinterMetrics/>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3AE"/>
    <w:rsid w:val="000A449A"/>
    <w:rsid w:val="00110D2A"/>
    <w:rsid w:val="00167982"/>
    <w:rsid w:val="00241A55"/>
    <w:rsid w:val="00297DFC"/>
    <w:rsid w:val="002B577B"/>
    <w:rsid w:val="003512DF"/>
    <w:rsid w:val="003B43AE"/>
    <w:rsid w:val="00431E8A"/>
    <w:rsid w:val="004F16CF"/>
    <w:rsid w:val="004F5C21"/>
    <w:rsid w:val="005A1710"/>
    <w:rsid w:val="005C72EB"/>
    <w:rsid w:val="00614423"/>
    <w:rsid w:val="007C3BA3"/>
    <w:rsid w:val="008011AB"/>
    <w:rsid w:val="00882C82"/>
    <w:rsid w:val="009C4A26"/>
    <w:rsid w:val="009D2E94"/>
    <w:rsid w:val="009F59B5"/>
    <w:rsid w:val="00A70557"/>
    <w:rsid w:val="00AD78C3"/>
    <w:rsid w:val="00B748D7"/>
    <w:rsid w:val="00BC0E84"/>
    <w:rsid w:val="00CA156B"/>
    <w:rsid w:val="00D04242"/>
    <w:rsid w:val="00D8002B"/>
    <w:rsid w:val="00E93341"/>
    <w:rsid w:val="00E95F68"/>
    <w:rsid w:val="00ED7926"/>
    <w:rsid w:val="00EE27B0"/>
    <w:rsid w:val="00F94662"/>
    <w:rsid w:val="00FD32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7183"/>
  <w15:chartTrackingRefBased/>
  <w15:docId w15:val="{3FEDC948-3ADF-4FF6-972A-9B95E0FD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overflowPunct w:val="0"/>
      <w:autoSpaceDE w:val="0"/>
      <w:textAlignment w:val="baseline"/>
    </w:pPr>
    <w:rPr>
      <w:rFonts w:ascii="Arial" w:hAnsi="Arial"/>
    </w:rPr>
  </w:style>
  <w:style w:type="paragraph" w:styleId="berschrift1">
    <w:name w:val="heading 1"/>
    <w:basedOn w:val="Standard"/>
    <w:next w:val="Standard"/>
    <w:qFormat/>
    <w:pPr>
      <w:numPr>
        <w:numId w:val="1"/>
      </w:numPr>
      <w:outlineLvl w:val="0"/>
    </w:pPr>
  </w:style>
  <w:style w:type="paragraph" w:styleId="berschrift2">
    <w:name w:val="heading 2"/>
    <w:basedOn w:val="Standard"/>
    <w:next w:val="Standard"/>
    <w:qFormat/>
    <w:pPr>
      <w:numPr>
        <w:ilvl w:val="1"/>
        <w:numId w:val="1"/>
      </w:numPr>
      <w:outlineLvl w:val="1"/>
    </w:pPr>
  </w:style>
  <w:style w:type="paragraph" w:styleId="berschrift3">
    <w:name w:val="heading 3"/>
    <w:basedOn w:val="Standard"/>
    <w:next w:val="Standard"/>
    <w:qFormat/>
    <w:pPr>
      <w:numPr>
        <w:ilvl w:val="2"/>
        <w:numId w:val="1"/>
      </w:numPr>
      <w:outlineLvl w:val="2"/>
    </w:pPr>
  </w:style>
  <w:style w:type="paragraph" w:styleId="berschrift4">
    <w:name w:val="heading 4"/>
    <w:basedOn w:val="Standard"/>
    <w:next w:val="Standard"/>
    <w:qFormat/>
    <w:pPr>
      <w:numPr>
        <w:ilvl w:val="3"/>
        <w:numId w:val="1"/>
      </w:numPr>
      <w:outlineLvl w:val="3"/>
    </w:pPr>
  </w:style>
  <w:style w:type="paragraph" w:styleId="berschrift5">
    <w:name w:val="heading 5"/>
    <w:basedOn w:val="Standard"/>
    <w:next w:val="Standard"/>
    <w:qFormat/>
    <w:pPr>
      <w:numPr>
        <w:ilvl w:val="4"/>
        <w:numId w:val="1"/>
      </w:numPr>
      <w:outlineLvl w:val="4"/>
    </w:pPr>
  </w:style>
  <w:style w:type="paragraph" w:styleId="berschrift6">
    <w:name w:val="heading 6"/>
    <w:basedOn w:val="Standard"/>
    <w:next w:val="Standard"/>
    <w:qFormat/>
    <w:pPr>
      <w:numPr>
        <w:ilvl w:val="5"/>
        <w:numId w:val="1"/>
      </w:numPr>
      <w:outlineLvl w:val="5"/>
    </w:pPr>
  </w:style>
  <w:style w:type="paragraph" w:styleId="berschrift7">
    <w:name w:val="heading 7"/>
    <w:basedOn w:val="Standard"/>
    <w:next w:val="Standard"/>
    <w:qFormat/>
    <w:pPr>
      <w:numPr>
        <w:ilvl w:val="6"/>
        <w:numId w:val="1"/>
      </w:numPr>
      <w:outlineLvl w:val="6"/>
    </w:pPr>
  </w:style>
  <w:style w:type="paragraph" w:styleId="berschrift8">
    <w:name w:val="heading 8"/>
    <w:basedOn w:val="Standard"/>
    <w:next w:val="Standard"/>
    <w:qFormat/>
    <w:pPr>
      <w:numPr>
        <w:ilvl w:val="7"/>
        <w:numId w:val="1"/>
      </w:numPr>
      <w:outlineLvl w:val="7"/>
    </w:pPr>
  </w:style>
  <w:style w:type="paragraph" w:styleId="berschrift9">
    <w:name w:val="heading 9"/>
    <w:basedOn w:val="Standard"/>
    <w:next w:val="Standard"/>
    <w:qFormat/>
    <w:pPr>
      <w:numPr>
        <w:ilvl w:val="8"/>
        <w:numId w:val="1"/>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semiHidden/>
    <w:pPr>
      <w:spacing w:after="120"/>
    </w:pPr>
  </w:style>
  <w:style w:type="paragraph" w:styleId="Liste">
    <w:name w:val="List"/>
    <w:basedOn w:val="Textkrper"/>
    <w:semiHidden/>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prechblasentext">
    <w:name w:val="Balloon Text"/>
    <w:basedOn w:val="Standard"/>
    <w:link w:val="SprechblasentextZchn"/>
    <w:uiPriority w:val="99"/>
    <w:semiHidden/>
    <w:unhideWhenUsed/>
    <w:rsid w:val="00297DFC"/>
    <w:rPr>
      <w:rFonts w:ascii="Segoe UI" w:hAnsi="Segoe UI" w:cs="Segoe UI"/>
      <w:sz w:val="18"/>
      <w:szCs w:val="18"/>
    </w:rPr>
  </w:style>
  <w:style w:type="character" w:customStyle="1" w:styleId="SprechblasentextZchn">
    <w:name w:val="Sprechblasentext Zchn"/>
    <w:link w:val="Sprechblasentext"/>
    <w:uiPriority w:val="99"/>
    <w:semiHidden/>
    <w:rsid w:val="00297DFC"/>
    <w:rPr>
      <w:rFonts w:ascii="Segoe UI" w:hAnsi="Segoe UI" w:cs="Segoe UI"/>
      <w:sz w:val="18"/>
      <w:szCs w:val="18"/>
    </w:rPr>
  </w:style>
  <w:style w:type="character" w:styleId="Kommentarzeichen">
    <w:name w:val="annotation reference"/>
    <w:uiPriority w:val="99"/>
    <w:semiHidden/>
    <w:unhideWhenUsed/>
    <w:rsid w:val="00297DFC"/>
    <w:rPr>
      <w:sz w:val="16"/>
      <w:szCs w:val="16"/>
    </w:rPr>
  </w:style>
  <w:style w:type="paragraph" w:styleId="Kommentartext">
    <w:name w:val="annotation text"/>
    <w:basedOn w:val="Standard"/>
    <w:link w:val="KommentartextZchn"/>
    <w:uiPriority w:val="99"/>
    <w:semiHidden/>
    <w:unhideWhenUsed/>
    <w:rsid w:val="00297DFC"/>
  </w:style>
  <w:style w:type="character" w:customStyle="1" w:styleId="KommentartextZchn">
    <w:name w:val="Kommentartext Zchn"/>
    <w:link w:val="Kommentartext"/>
    <w:uiPriority w:val="99"/>
    <w:semiHidden/>
    <w:rsid w:val="00297DFC"/>
    <w:rPr>
      <w:rFonts w:ascii="Arial" w:hAnsi="Arial"/>
    </w:rPr>
  </w:style>
  <w:style w:type="paragraph" w:styleId="Kommentarthema">
    <w:name w:val="annotation subject"/>
    <w:basedOn w:val="Kommentartext"/>
    <w:next w:val="Kommentartext"/>
    <w:link w:val="KommentarthemaZchn"/>
    <w:uiPriority w:val="99"/>
    <w:semiHidden/>
    <w:unhideWhenUsed/>
    <w:rsid w:val="00297DFC"/>
    <w:rPr>
      <w:b/>
      <w:bCs/>
    </w:rPr>
  </w:style>
  <w:style w:type="character" w:customStyle="1" w:styleId="KommentarthemaZchn">
    <w:name w:val="Kommentarthema Zchn"/>
    <w:link w:val="Kommentarthema"/>
    <w:uiPriority w:val="99"/>
    <w:semiHidden/>
    <w:rsid w:val="00297DFC"/>
    <w:rPr>
      <w:rFonts w:ascii="Arial" w:hAnsi="Arial"/>
      <w:b/>
      <w:bCs/>
    </w:rPr>
  </w:style>
  <w:style w:type="paragraph" w:styleId="Kopfzeile">
    <w:name w:val="header"/>
    <w:basedOn w:val="Standard"/>
    <w:link w:val="KopfzeileZchn"/>
    <w:uiPriority w:val="99"/>
    <w:unhideWhenUsed/>
    <w:rsid w:val="00110D2A"/>
    <w:pPr>
      <w:tabs>
        <w:tab w:val="center" w:pos="4536"/>
        <w:tab w:val="right" w:pos="9072"/>
      </w:tabs>
    </w:pPr>
  </w:style>
  <w:style w:type="character" w:customStyle="1" w:styleId="KopfzeileZchn">
    <w:name w:val="Kopfzeile Zchn"/>
    <w:link w:val="Kopfzeile"/>
    <w:uiPriority w:val="99"/>
    <w:rsid w:val="00110D2A"/>
    <w:rPr>
      <w:rFonts w:ascii="Arial" w:hAnsi="Arial"/>
    </w:rPr>
  </w:style>
  <w:style w:type="paragraph" w:styleId="Fuzeile">
    <w:name w:val="footer"/>
    <w:basedOn w:val="Standard"/>
    <w:link w:val="FuzeileZchn"/>
    <w:uiPriority w:val="99"/>
    <w:unhideWhenUsed/>
    <w:rsid w:val="00110D2A"/>
    <w:pPr>
      <w:tabs>
        <w:tab w:val="center" w:pos="4536"/>
        <w:tab w:val="right" w:pos="9072"/>
      </w:tabs>
    </w:pPr>
  </w:style>
  <w:style w:type="character" w:customStyle="1" w:styleId="FuzeileZchn">
    <w:name w:val="Fußzeile Zchn"/>
    <w:link w:val="Fuzeile"/>
    <w:uiPriority w:val="99"/>
    <w:rsid w:val="00110D2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Kompetenzorientierte Bewertungskriterien Mathematik (APO 11)</vt:lpstr>
    </vt:vector>
  </TitlesOfParts>
  <Company>USS Enterprise</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Kompetenzorientierte Bewertungskriterien Mathematik (APO 11)</dc:title>
  <dc:subject/>
  <dc:creator>Unknown</dc:creator>
  <cp:keywords/>
  <cp:lastModifiedBy>Katja Godowski</cp:lastModifiedBy>
  <cp:revision>2</cp:revision>
  <cp:lastPrinted>1899-12-31T23:00:00Z</cp:lastPrinted>
  <dcterms:created xsi:type="dcterms:W3CDTF">2020-04-17T18:20:00Z</dcterms:created>
  <dcterms:modified xsi:type="dcterms:W3CDTF">2020-04-17T18:20:00Z</dcterms:modified>
</cp:coreProperties>
</file>